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C5" w:rsidRPr="008A21C5" w:rsidRDefault="002F7261" w:rsidP="008A21C5">
      <w:pPr>
        <w:widowControl w:val="0"/>
        <w:autoSpaceDE w:val="0"/>
        <w:autoSpaceDN w:val="0"/>
        <w:adjustRightInd w:val="0"/>
        <w:spacing w:before="72" w:after="0" w:line="240" w:lineRule="auto"/>
        <w:ind w:left="-142" w:right="352"/>
        <w:jc w:val="center"/>
        <w:rPr>
          <w:rFonts w:ascii="Arial" w:hAnsi="Arial" w:cs="Arial"/>
          <w:b/>
          <w:bCs/>
          <w:sz w:val="16"/>
          <w:szCs w:val="16"/>
          <w:lang w:val="sl"/>
        </w:rPr>
      </w:pPr>
      <w:bookmarkStart w:id="0" w:name="_GoBack"/>
      <w:bookmarkEnd w:id="0"/>
      <w:r w:rsidRPr="002F7261">
        <w:rPr>
          <w:rFonts w:ascii="Calibri" w:hAnsi="Calibri" w:cs="Calibri"/>
          <w:noProof/>
          <w:sz w:val="20"/>
          <w:szCs w:val="20"/>
        </w:rPr>
        <w:drawing>
          <wp:inline distT="0" distB="0" distL="0" distR="0">
            <wp:extent cx="895350" cy="2190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p w:rsidR="00554E35" w:rsidRPr="008A21C5" w:rsidRDefault="00554E35" w:rsidP="008A21C5">
      <w:pPr>
        <w:widowControl w:val="0"/>
        <w:autoSpaceDE w:val="0"/>
        <w:autoSpaceDN w:val="0"/>
        <w:adjustRightInd w:val="0"/>
        <w:spacing w:before="72" w:after="0" w:line="240" w:lineRule="auto"/>
        <w:ind w:left="142" w:right="352"/>
        <w:jc w:val="center"/>
        <w:rPr>
          <w:rFonts w:ascii="Arial" w:hAnsi="Arial" w:cs="Arial"/>
          <w:b/>
          <w:bCs/>
          <w:sz w:val="14"/>
          <w:szCs w:val="14"/>
          <w:lang w:val="sl"/>
        </w:rPr>
      </w:pPr>
      <w:r w:rsidRPr="008A21C5">
        <w:rPr>
          <w:rFonts w:ascii="Arial" w:hAnsi="Arial" w:cs="Arial"/>
          <w:b/>
          <w:bCs/>
          <w:sz w:val="16"/>
          <w:szCs w:val="16"/>
          <w:lang w:val="sl"/>
        </w:rPr>
        <w:t xml:space="preserve">Hitri test za dokazovanje prisotnosti protiteles IgM/IgG proti SARS-CoV-2 </w:t>
      </w:r>
      <w:r w:rsidRPr="008A21C5">
        <w:rPr>
          <w:rFonts w:ascii="Arial" w:hAnsi="Arial" w:cs="Arial"/>
          <w:b/>
          <w:bCs/>
          <w:sz w:val="14"/>
          <w:szCs w:val="14"/>
          <w:lang w:val="sl"/>
        </w:rPr>
        <w:t>(hitri test IgM/IgG COVID-19) Navodila za uporabo</w:t>
      </w:r>
    </w:p>
    <w:p w:rsidR="00554E35" w:rsidRPr="008A21C5" w:rsidRDefault="00554E35">
      <w:pPr>
        <w:widowControl w:val="0"/>
        <w:autoSpaceDE w:val="0"/>
        <w:autoSpaceDN w:val="0"/>
        <w:adjustRightInd w:val="0"/>
        <w:spacing w:before="10" w:after="0" w:line="240" w:lineRule="auto"/>
        <w:rPr>
          <w:rFonts w:ascii="Arial" w:hAnsi="Arial" w:cs="Arial"/>
          <w:b/>
          <w:bCs/>
          <w:sz w:val="6"/>
          <w:szCs w:val="6"/>
          <w:lang w:val="sl"/>
        </w:rPr>
      </w:pPr>
    </w:p>
    <w:p w:rsidR="00554E35" w:rsidRPr="008A21C5" w:rsidRDefault="00554E35" w:rsidP="008A21C5">
      <w:pPr>
        <w:widowControl w:val="0"/>
        <w:tabs>
          <w:tab w:val="left" w:pos="1478"/>
        </w:tabs>
        <w:autoSpaceDE w:val="0"/>
        <w:autoSpaceDN w:val="0"/>
        <w:adjustRightInd w:val="0"/>
        <w:spacing w:before="121" w:after="0" w:line="240" w:lineRule="auto"/>
        <w:ind w:left="109"/>
        <w:jc w:val="both"/>
        <w:rPr>
          <w:rFonts w:ascii="Arial" w:hAnsi="Arial" w:cs="Arial"/>
          <w:b/>
          <w:bCs/>
          <w:sz w:val="12"/>
          <w:szCs w:val="12"/>
          <w:lang w:val="sl"/>
        </w:rPr>
      </w:pPr>
      <w:r w:rsidRPr="008A21C5">
        <w:rPr>
          <w:rFonts w:ascii="Arial" w:hAnsi="Arial" w:cs="Arial"/>
          <w:b/>
          <w:bCs/>
          <w:color w:val="FFFFFF"/>
          <w:sz w:val="12"/>
          <w:szCs w:val="12"/>
          <w:highlight w:val="black"/>
          <w:lang w:val="sl"/>
        </w:rPr>
        <w:t xml:space="preserve"> NAČELO DELOVANJA IN UPORABA</w:t>
      </w:r>
      <w:r w:rsidR="008A21C5">
        <w:rPr>
          <w:rFonts w:ascii="Arial" w:hAnsi="Arial" w:cs="Arial"/>
          <w:b/>
          <w:bCs/>
          <w:color w:val="FFFFFF"/>
          <w:sz w:val="12"/>
          <w:szCs w:val="12"/>
          <w:highlight w:val="black"/>
          <w:lang w:val="sl"/>
        </w:rPr>
        <w:t xml:space="preserve">         </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p>
    <w:p w:rsidR="00554E35" w:rsidRPr="008A21C5" w:rsidRDefault="00554E35">
      <w:pPr>
        <w:widowControl w:val="0"/>
        <w:autoSpaceDE w:val="0"/>
        <w:autoSpaceDN w:val="0"/>
        <w:adjustRightInd w:val="0"/>
        <w:spacing w:before="93" w:after="0" w:line="240" w:lineRule="auto"/>
        <w:ind w:left="139" w:right="67"/>
        <w:jc w:val="both"/>
        <w:rPr>
          <w:rFonts w:ascii="Arial" w:hAnsi="Arial" w:cs="Arial"/>
          <w:sz w:val="10"/>
          <w:szCs w:val="10"/>
          <w:lang w:val="sl"/>
        </w:rPr>
      </w:pPr>
      <w:r w:rsidRPr="008A21C5">
        <w:rPr>
          <w:rFonts w:ascii="Arial" w:hAnsi="Arial" w:cs="Arial"/>
          <w:sz w:val="10"/>
          <w:szCs w:val="10"/>
          <w:lang w:val="sl"/>
        </w:rPr>
        <w:t>Hitri test za dokazovanje prisotnosti protiteles IgM/IgG proti SARS-CoV-2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(hitri test IgM/IgG COVID-19) je namenjen hitremu in kvalitativnemu zaznavanju protiteles IgM in IgG proti SARS-CoV-2 v človeški polni krvi (konica prst/venska kri), serumu ali plazmi.  Test je namenjen le za</w:t>
      </w:r>
      <w:r w:rsidRPr="008A21C5">
        <w:rPr>
          <w:rFonts w:ascii="Arial" w:hAnsi="Arial" w:cs="Arial"/>
          <w:i/>
          <w:iCs/>
          <w:sz w:val="10"/>
          <w:szCs w:val="10"/>
          <w:lang w:val="sl"/>
        </w:rPr>
        <w:t xml:space="preserve"> in-vitro</w:t>
      </w:r>
      <w:r w:rsidRPr="008A21C5">
        <w:rPr>
          <w:rFonts w:ascii="Arial" w:hAnsi="Arial" w:cs="Arial"/>
          <w:sz w:val="10"/>
          <w:szCs w:val="10"/>
          <w:lang w:val="sl"/>
        </w:rPr>
        <w:t xml:space="preserve"> diagnosticiranje. Samo za profesionalno uporabo. Test je namenjen samo za testiranje na licu mesta za klinične laboratorije in zdravstvene strokovnjake. Ni namenjeno za testiranje doma.</w:t>
      </w:r>
    </w:p>
    <w:p w:rsidR="00554E35" w:rsidRPr="008A21C5" w:rsidRDefault="00554E35">
      <w:pPr>
        <w:widowControl w:val="0"/>
        <w:autoSpaceDE w:val="0"/>
        <w:autoSpaceDN w:val="0"/>
        <w:adjustRightInd w:val="0"/>
        <w:spacing w:after="0" w:line="240" w:lineRule="auto"/>
        <w:ind w:left="139" w:right="67"/>
        <w:jc w:val="both"/>
        <w:rPr>
          <w:rFonts w:ascii="Arial" w:hAnsi="Arial" w:cs="Arial"/>
          <w:sz w:val="10"/>
          <w:szCs w:val="10"/>
          <w:lang w:val="sl"/>
        </w:rPr>
      </w:pPr>
      <w:r w:rsidRPr="008A21C5">
        <w:rPr>
          <w:rFonts w:ascii="Arial" w:hAnsi="Arial" w:cs="Arial"/>
          <w:sz w:val="10"/>
          <w:szCs w:val="10"/>
          <w:lang w:val="sl"/>
        </w:rPr>
        <w:t>Hitri test SARS-CoV-2 IgM/IgG VivaDiag</w:t>
      </w:r>
      <w:r w:rsidRPr="008A21C5">
        <w:rPr>
          <w:rFonts w:ascii="Arial" w:hAnsi="Arial" w:cs="Arial"/>
          <w:sz w:val="10"/>
          <w:szCs w:val="10"/>
          <w:vertAlign w:val="superscript"/>
          <w:lang w:val="sl"/>
        </w:rPr>
        <w:t xml:space="preserve">TM </w:t>
      </w:r>
      <w:r w:rsidRPr="008A21C5">
        <w:rPr>
          <w:rFonts w:ascii="Arial" w:hAnsi="Arial" w:cs="Arial"/>
          <w:sz w:val="10"/>
          <w:szCs w:val="10"/>
          <w:lang w:val="sl"/>
        </w:rPr>
        <w:t xml:space="preserve">je zasnovan na tehnologiji imunološkega testiranja. Testni pripomoček vsebuje: 1) </w:t>
      </w:r>
      <w:r w:rsidR="00024498">
        <w:rPr>
          <w:rFonts w:ascii="Arial" w:hAnsi="Arial" w:cs="Arial"/>
          <w:sz w:val="10"/>
          <w:szCs w:val="10"/>
          <w:lang w:val="sl"/>
        </w:rPr>
        <w:t>k</w:t>
      </w:r>
      <w:r w:rsidRPr="008A21C5">
        <w:rPr>
          <w:rFonts w:ascii="Arial" w:hAnsi="Arial" w:cs="Arial"/>
          <w:sz w:val="10"/>
          <w:szCs w:val="10"/>
          <w:lang w:val="sl"/>
        </w:rPr>
        <w:t xml:space="preserve">onjugirano podlago: </w:t>
      </w:r>
      <w:r w:rsidR="00024498">
        <w:rPr>
          <w:rFonts w:ascii="Arial" w:hAnsi="Arial" w:cs="Arial"/>
          <w:sz w:val="10"/>
          <w:szCs w:val="10"/>
          <w:lang w:val="sl"/>
        </w:rPr>
        <w:t>r</w:t>
      </w:r>
      <w:r w:rsidRPr="008A21C5">
        <w:rPr>
          <w:rFonts w:ascii="Arial" w:hAnsi="Arial" w:cs="Arial"/>
          <w:sz w:val="10"/>
          <w:szCs w:val="10"/>
          <w:lang w:val="sl"/>
        </w:rPr>
        <w:t>ekombinantni antigen SARS-CoV-2, označen s koloidnim zlatom, ki povezuje FITC, protitelo FITC in kontrolo kakovosti zlatega označevalca protitelesa</w:t>
      </w:r>
      <w:r w:rsidR="00024498">
        <w:rPr>
          <w:rFonts w:ascii="Arial" w:hAnsi="Arial" w:cs="Arial"/>
          <w:sz w:val="10"/>
          <w:szCs w:val="10"/>
          <w:lang w:val="sl"/>
        </w:rPr>
        <w:t>;</w:t>
      </w:r>
      <w:r w:rsidRPr="008A21C5">
        <w:rPr>
          <w:rFonts w:ascii="Arial" w:hAnsi="Arial" w:cs="Arial"/>
          <w:sz w:val="10"/>
          <w:szCs w:val="10"/>
          <w:lang w:val="sl"/>
        </w:rPr>
        <w:t xml:space="preserve"> 2) </w:t>
      </w:r>
      <w:r w:rsidR="00024498">
        <w:rPr>
          <w:rFonts w:ascii="Arial" w:hAnsi="Arial" w:cs="Arial"/>
          <w:sz w:val="10"/>
          <w:szCs w:val="10"/>
          <w:lang w:val="sl"/>
        </w:rPr>
        <w:t>m</w:t>
      </w:r>
      <w:r w:rsidRPr="008A21C5">
        <w:rPr>
          <w:rFonts w:ascii="Arial" w:hAnsi="Arial" w:cs="Arial"/>
          <w:sz w:val="10"/>
          <w:szCs w:val="10"/>
          <w:lang w:val="sl"/>
        </w:rPr>
        <w:t>embrano NC, prevlečeno z dvema detekcijskima linijama (linija IgG in linija IgM) in eno linijo za kontrolo kakovosti (linija C). Detekcijska linija IgM, prevlečena z mišjim anti-humanim monoklonskim protitelesom IgM zaznava protitelo IgM proti SARS-CoV-2. Detekcijska linija IgG, prevlečena z mišjim anti-humanim monoklonskim protitelesom IgG zaznava protitelo IgG proti SARS-CoV-2. Linija za kontrolo kakovosti C je prevlečena s protitelesom za kontrolo kakovosti.</w:t>
      </w:r>
    </w:p>
    <w:p w:rsidR="00554E35" w:rsidRPr="008A21C5" w:rsidRDefault="00554E35">
      <w:pPr>
        <w:widowControl w:val="0"/>
        <w:autoSpaceDE w:val="0"/>
        <w:autoSpaceDN w:val="0"/>
        <w:adjustRightInd w:val="0"/>
        <w:spacing w:after="0" w:line="240" w:lineRule="auto"/>
        <w:ind w:left="139" w:right="66"/>
        <w:jc w:val="both"/>
        <w:rPr>
          <w:rFonts w:ascii="Arial" w:hAnsi="Arial" w:cs="Arial"/>
          <w:sz w:val="10"/>
          <w:szCs w:val="10"/>
          <w:lang w:val="sl"/>
        </w:rPr>
      </w:pPr>
      <w:r w:rsidRPr="008A21C5">
        <w:rPr>
          <w:rFonts w:ascii="Arial" w:hAnsi="Arial" w:cs="Arial"/>
          <w:sz w:val="10"/>
          <w:szCs w:val="10"/>
          <w:lang w:val="sl"/>
        </w:rPr>
        <w:t>Ko vzorec dodate vzorčnemu delu, ta reagira z reagenti v testnem pripomočku. Če vzorec vsebuje protitelo IgM, ta poveže antigen virusa, označen s koloidnim zlatom in tako ustvari kompleksno enoto s prevlečenim anti-humanim monoklonskim protitelesom IgM na detekcijski liniji IgM. Detekcijska linija IgM se pojavi v vijolično-rdeči barvi in tako označuje, da je protitelo IgM proti SARS-CoV-2 pozitivno. Če vzorec vsebuje protitelo IgG, ta poveže antigen virusa, označen s koloidnim zlatom in tako ustvari kompleksno enoto s prevlečenim anti-humanim monoklonskim protitelesom IgG na detekcijski liniji IgG. Detekcijska linija IgG se pojavi v vijolično-rdeči barvi in tako označuje, da je protitelo IgG proti SARS-CoV-2 pozitivno.</w:t>
      </w:r>
    </w:p>
    <w:p w:rsidR="00554E35" w:rsidRPr="008A21C5" w:rsidRDefault="00554E35">
      <w:pPr>
        <w:widowControl w:val="0"/>
        <w:autoSpaceDE w:val="0"/>
        <w:autoSpaceDN w:val="0"/>
        <w:adjustRightInd w:val="0"/>
        <w:spacing w:after="0" w:line="240" w:lineRule="auto"/>
        <w:ind w:left="139" w:right="66"/>
        <w:jc w:val="both"/>
        <w:rPr>
          <w:rFonts w:ascii="Arial" w:hAnsi="Arial" w:cs="Arial"/>
          <w:sz w:val="10"/>
          <w:szCs w:val="10"/>
          <w:lang w:val="sl"/>
        </w:rPr>
      </w:pPr>
      <w:r w:rsidRPr="008A21C5">
        <w:rPr>
          <w:rFonts w:ascii="Arial" w:hAnsi="Arial" w:cs="Arial"/>
          <w:sz w:val="10"/>
          <w:szCs w:val="10"/>
          <w:lang w:val="sl"/>
        </w:rPr>
        <w:t>Če se ne pojavita niti detekcijska linija IgG niti IgM, je rezultat testa negativen. Testni pripomoček prav tako vsebuje C-linijo za kontrolo kakovosti, ki se mora pojaviti v vijolično-rdeči barvi pri vseh veljavnih testih. Če se C-linija za kontrolo kakovosti ne pojavi, je rezultat testiranja neveljaven, tudi če se pojavita detekcijski liniji za IgM ali IgG.</w:t>
      </w:r>
    </w:p>
    <w:p w:rsidR="00554E35" w:rsidRPr="008A21C5" w:rsidRDefault="00554E35" w:rsidP="008A21C5">
      <w:pPr>
        <w:widowControl w:val="0"/>
        <w:tabs>
          <w:tab w:val="left" w:pos="2065"/>
          <w:tab w:val="left" w:pos="5018"/>
        </w:tabs>
        <w:autoSpaceDE w:val="0"/>
        <w:autoSpaceDN w:val="0"/>
        <w:adjustRightInd w:val="0"/>
        <w:spacing w:before="93" w:after="0" w:line="240" w:lineRule="auto"/>
        <w:ind w:left="109"/>
        <w:jc w:val="both"/>
        <w:rPr>
          <w:rFonts w:ascii="Arial" w:hAnsi="Arial" w:cs="Arial"/>
          <w:b/>
          <w:bCs/>
          <w:sz w:val="12"/>
          <w:szCs w:val="12"/>
          <w:lang w:val="sl"/>
        </w:rPr>
      </w:pPr>
      <w:r w:rsidRPr="008A21C5">
        <w:rPr>
          <w:rFonts w:ascii="Arial" w:hAnsi="Arial" w:cs="Arial"/>
          <w:b/>
          <w:bCs/>
          <w:color w:val="FFFFFF"/>
          <w:sz w:val="12"/>
          <w:szCs w:val="12"/>
          <w:highlight w:val="black"/>
          <w:lang w:val="sl"/>
        </w:rPr>
        <w:t xml:space="preserve"> SESTAVA</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p>
    <w:p w:rsidR="00554E35" w:rsidRPr="008A21C5" w:rsidRDefault="00554E35">
      <w:pPr>
        <w:widowControl w:val="0"/>
        <w:autoSpaceDE w:val="0"/>
        <w:autoSpaceDN w:val="0"/>
        <w:adjustRightInd w:val="0"/>
        <w:spacing w:before="93" w:after="0" w:line="240" w:lineRule="auto"/>
        <w:ind w:left="139"/>
        <w:rPr>
          <w:rFonts w:ascii="Arial" w:hAnsi="Arial" w:cs="Arial"/>
          <w:i/>
          <w:iCs/>
          <w:sz w:val="10"/>
          <w:szCs w:val="10"/>
          <w:lang w:val="sl"/>
        </w:rPr>
      </w:pPr>
      <w:r w:rsidRPr="008A21C5">
        <w:rPr>
          <w:rFonts w:ascii="Arial" w:hAnsi="Arial" w:cs="Arial"/>
          <w:sz w:val="10"/>
          <w:szCs w:val="10"/>
          <w:lang w:val="sl"/>
        </w:rPr>
        <w:t xml:space="preserve">Vsak testni komplet vsebuje testne pripomočke, pufer, pipeto (opcijsko) in navodila za uporabo. </w:t>
      </w:r>
      <w:r w:rsidRPr="008A21C5">
        <w:rPr>
          <w:rFonts w:ascii="Arial" w:hAnsi="Arial" w:cs="Arial"/>
          <w:i/>
          <w:iCs/>
          <w:sz w:val="10"/>
          <w:szCs w:val="10"/>
          <w:lang w:val="sl"/>
        </w:rPr>
        <w:t>Zahtevani materiali, ki niso priloženi: varnostna lanceta (za odvzem krvi s konice prsta), alkoholna krpica ali časovnik.</w:t>
      </w:r>
    </w:p>
    <w:p w:rsidR="00554E35" w:rsidRPr="008A21C5" w:rsidRDefault="00554E35" w:rsidP="008A21C5">
      <w:pPr>
        <w:widowControl w:val="0"/>
        <w:tabs>
          <w:tab w:val="left" w:pos="1657"/>
          <w:tab w:val="left" w:pos="5018"/>
        </w:tabs>
        <w:autoSpaceDE w:val="0"/>
        <w:autoSpaceDN w:val="0"/>
        <w:adjustRightInd w:val="0"/>
        <w:spacing w:before="93" w:after="0" w:line="240" w:lineRule="auto"/>
        <w:ind w:left="109"/>
        <w:jc w:val="both"/>
        <w:rPr>
          <w:rFonts w:ascii="Arial" w:hAnsi="Arial" w:cs="Arial"/>
          <w:b/>
          <w:bCs/>
          <w:sz w:val="12"/>
          <w:szCs w:val="12"/>
          <w:lang w:val="sl"/>
        </w:rPr>
      </w:pPr>
      <w:r w:rsidRPr="008A21C5">
        <w:rPr>
          <w:rFonts w:ascii="Arial" w:hAnsi="Arial" w:cs="Arial"/>
          <w:b/>
          <w:bCs/>
          <w:color w:val="FFFFFF"/>
          <w:sz w:val="12"/>
          <w:szCs w:val="12"/>
          <w:highlight w:val="black"/>
          <w:lang w:val="sl"/>
        </w:rPr>
        <w:t xml:space="preserve"> SHRANJEVANJE IN ROKOVANJE S PRIPOMOČKOM</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r w:rsidR="008A21C5">
        <w:rPr>
          <w:rFonts w:ascii="Arial" w:hAnsi="Arial" w:cs="Arial"/>
          <w:b/>
          <w:bCs/>
          <w:color w:val="FFFFFF"/>
          <w:sz w:val="12"/>
          <w:szCs w:val="12"/>
          <w:lang w:val="sl"/>
        </w:rPr>
        <w:tab/>
      </w:r>
      <w:r w:rsidR="008A21C5">
        <w:rPr>
          <w:rFonts w:ascii="Arial" w:hAnsi="Arial" w:cs="Arial"/>
          <w:b/>
          <w:bCs/>
          <w:color w:val="FFFFFF"/>
          <w:sz w:val="12"/>
          <w:szCs w:val="12"/>
          <w:lang w:val="sl"/>
        </w:rPr>
        <w:tab/>
      </w:r>
      <w:r w:rsidR="008A21C5">
        <w:rPr>
          <w:rFonts w:ascii="Arial" w:hAnsi="Arial" w:cs="Arial"/>
          <w:b/>
          <w:bCs/>
          <w:color w:val="FFFFFF"/>
          <w:sz w:val="12"/>
          <w:szCs w:val="12"/>
          <w:lang w:val="sl"/>
        </w:rPr>
        <w:tab/>
      </w:r>
    </w:p>
    <w:p w:rsidR="00554E35" w:rsidRPr="008A21C5" w:rsidRDefault="00554E35" w:rsidP="008A21C5">
      <w:pPr>
        <w:widowControl w:val="0"/>
        <w:numPr>
          <w:ilvl w:val="0"/>
          <w:numId w:val="1"/>
        </w:numPr>
        <w:tabs>
          <w:tab w:val="left" w:pos="320"/>
        </w:tabs>
        <w:autoSpaceDE w:val="0"/>
        <w:autoSpaceDN w:val="0"/>
        <w:adjustRightInd w:val="0"/>
        <w:spacing w:before="93" w:after="0" w:line="240" w:lineRule="auto"/>
        <w:ind w:left="321" w:right="66" w:hanging="182"/>
        <w:jc w:val="both"/>
        <w:rPr>
          <w:rFonts w:ascii="Arial" w:hAnsi="Arial" w:cs="Arial"/>
          <w:sz w:val="10"/>
          <w:szCs w:val="10"/>
          <w:lang w:val="sl"/>
        </w:rPr>
      </w:pPr>
      <w:r w:rsidRPr="008A21C5">
        <w:rPr>
          <w:rFonts w:ascii="Arial" w:hAnsi="Arial" w:cs="Arial"/>
          <w:sz w:val="10"/>
          <w:szCs w:val="10"/>
          <w:lang w:val="sl"/>
        </w:rPr>
        <w:t>Testni komplet hranite v hladnem in suhem prostoru s temperaturo od 2 do 30 °C. Zaščitite pred svetlobo. Če je izdelek izpostavljen temperaturi in/ali vlagi izven zahtevanega razpona, to lahko privede do netočnih rezultatov.</w:t>
      </w:r>
    </w:p>
    <w:p w:rsidR="00554E35" w:rsidRPr="008A21C5" w:rsidRDefault="00554E35" w:rsidP="008A21C5">
      <w:pPr>
        <w:widowControl w:val="0"/>
        <w:numPr>
          <w:ilvl w:val="0"/>
          <w:numId w:val="1"/>
        </w:numPr>
        <w:tabs>
          <w:tab w:val="left" w:pos="320"/>
        </w:tabs>
        <w:autoSpaceDE w:val="0"/>
        <w:autoSpaceDN w:val="0"/>
        <w:adjustRightInd w:val="0"/>
        <w:spacing w:after="0" w:line="146" w:lineRule="atLeast"/>
        <w:ind w:left="319" w:hanging="181"/>
        <w:jc w:val="both"/>
        <w:rPr>
          <w:rFonts w:ascii="Arial" w:hAnsi="Arial" w:cs="Arial"/>
          <w:sz w:val="10"/>
          <w:szCs w:val="10"/>
          <w:lang w:val="sl"/>
        </w:rPr>
      </w:pPr>
      <w:r w:rsidRPr="008A21C5">
        <w:rPr>
          <w:rFonts w:ascii="Arial" w:hAnsi="Arial" w:cs="Arial"/>
          <w:sz w:val="10"/>
          <w:szCs w:val="10"/>
          <w:lang w:val="sl"/>
        </w:rPr>
        <w:t>Izdelka ne zamrzujte in hladite. Testne komplete uporabljajte pri temperaturi od 15 do 30 °C.</w:t>
      </w:r>
    </w:p>
    <w:p w:rsidR="00554E35" w:rsidRPr="008A21C5" w:rsidRDefault="00554E35" w:rsidP="008A21C5">
      <w:pPr>
        <w:widowControl w:val="0"/>
        <w:numPr>
          <w:ilvl w:val="0"/>
          <w:numId w:val="1"/>
        </w:numPr>
        <w:tabs>
          <w:tab w:val="left" w:pos="320"/>
        </w:tabs>
        <w:autoSpaceDE w:val="0"/>
        <w:autoSpaceDN w:val="0"/>
        <w:adjustRightInd w:val="0"/>
        <w:spacing w:after="0" w:line="146" w:lineRule="atLeast"/>
        <w:ind w:left="319" w:hanging="181"/>
        <w:jc w:val="both"/>
        <w:rPr>
          <w:rFonts w:ascii="Arial" w:hAnsi="Arial" w:cs="Arial"/>
          <w:sz w:val="10"/>
          <w:szCs w:val="10"/>
          <w:lang w:val="sl"/>
        </w:rPr>
      </w:pPr>
      <w:r w:rsidRPr="008A21C5">
        <w:rPr>
          <w:rFonts w:ascii="Arial" w:hAnsi="Arial" w:cs="Arial"/>
          <w:sz w:val="10"/>
          <w:szCs w:val="10"/>
          <w:lang w:val="sl"/>
        </w:rPr>
        <w:t>Testne komplete uporabljajte pri 10–90-% vlažnosti.</w:t>
      </w:r>
    </w:p>
    <w:p w:rsidR="00554E35" w:rsidRPr="008A21C5" w:rsidRDefault="00554E35" w:rsidP="008A21C5">
      <w:pPr>
        <w:widowControl w:val="0"/>
        <w:numPr>
          <w:ilvl w:val="0"/>
          <w:numId w:val="1"/>
        </w:numPr>
        <w:tabs>
          <w:tab w:val="left" w:pos="320"/>
        </w:tabs>
        <w:autoSpaceDE w:val="0"/>
        <w:autoSpaceDN w:val="0"/>
        <w:adjustRightInd w:val="0"/>
        <w:spacing w:after="0" w:line="240" w:lineRule="auto"/>
        <w:ind w:left="321" w:right="68" w:hanging="182"/>
        <w:jc w:val="both"/>
        <w:rPr>
          <w:rFonts w:ascii="Arial" w:hAnsi="Arial" w:cs="Arial"/>
          <w:sz w:val="10"/>
          <w:szCs w:val="10"/>
          <w:lang w:val="sl"/>
        </w:rPr>
      </w:pPr>
      <w:r w:rsidRPr="008A21C5">
        <w:rPr>
          <w:rFonts w:ascii="Arial" w:hAnsi="Arial" w:cs="Arial"/>
          <w:sz w:val="10"/>
          <w:szCs w:val="10"/>
          <w:lang w:val="sl"/>
        </w:rPr>
        <w:t>Testnih kompletov ne uporabljajte, če jim je potekel rok uporabnosti (natisnjen na foliji vsebnika in škatli).</w:t>
      </w:r>
    </w:p>
    <w:p w:rsidR="00554E35" w:rsidRPr="008A21C5" w:rsidRDefault="00554E35">
      <w:pPr>
        <w:widowControl w:val="0"/>
        <w:autoSpaceDE w:val="0"/>
        <w:autoSpaceDN w:val="0"/>
        <w:adjustRightInd w:val="0"/>
        <w:spacing w:after="0" w:line="136" w:lineRule="atLeast"/>
        <w:ind w:left="139"/>
        <w:jc w:val="both"/>
        <w:rPr>
          <w:rFonts w:ascii="Arial" w:hAnsi="Arial" w:cs="Arial"/>
          <w:i/>
          <w:iCs/>
          <w:sz w:val="10"/>
          <w:szCs w:val="10"/>
          <w:lang w:val="sl"/>
        </w:rPr>
      </w:pPr>
      <w:r w:rsidRPr="008A21C5">
        <w:rPr>
          <w:rFonts w:ascii="Arial" w:hAnsi="Arial" w:cs="Arial"/>
          <w:b/>
          <w:bCs/>
          <w:i/>
          <w:iCs/>
          <w:sz w:val="10"/>
          <w:szCs w:val="10"/>
          <w:lang w:val="sl"/>
        </w:rPr>
        <w:t xml:space="preserve">Opomba: </w:t>
      </w:r>
      <w:r w:rsidRPr="008A21C5">
        <w:rPr>
          <w:rFonts w:ascii="Arial" w:hAnsi="Arial" w:cs="Arial"/>
          <w:i/>
          <w:iCs/>
          <w:sz w:val="10"/>
          <w:szCs w:val="10"/>
          <w:lang w:val="sl"/>
        </w:rPr>
        <w:t>vsi datumi so navedeni v formatu leto-mesec. 2021-06 označuje junij 2021.</w:t>
      </w:r>
    </w:p>
    <w:p w:rsidR="00554E35" w:rsidRPr="008A21C5" w:rsidRDefault="00554E35">
      <w:pPr>
        <w:widowControl w:val="0"/>
        <w:tabs>
          <w:tab w:val="left" w:pos="989"/>
          <w:tab w:val="left" w:pos="5018"/>
        </w:tabs>
        <w:autoSpaceDE w:val="0"/>
        <w:autoSpaceDN w:val="0"/>
        <w:adjustRightInd w:val="0"/>
        <w:spacing w:before="94" w:after="0" w:line="240" w:lineRule="auto"/>
        <w:ind w:left="109"/>
        <w:rPr>
          <w:rFonts w:ascii="Arial" w:hAnsi="Arial" w:cs="Arial"/>
          <w:b/>
          <w:bCs/>
          <w:sz w:val="12"/>
          <w:szCs w:val="12"/>
          <w:lang w:val="sl"/>
        </w:rPr>
      </w:pPr>
      <w:r w:rsidRPr="008A21C5">
        <w:rPr>
          <w:rFonts w:ascii="Arial" w:hAnsi="Arial" w:cs="Arial"/>
          <w:b/>
          <w:bCs/>
          <w:color w:val="FFFFFF"/>
          <w:sz w:val="12"/>
          <w:szCs w:val="12"/>
          <w:highlight w:val="black"/>
          <w:lang w:val="sl"/>
        </w:rPr>
        <w:t xml:space="preserve"> OPOZORILA, PREVIDNOSTNI UKREPI IN OMEJITVE</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p>
    <w:p w:rsidR="008A21C5" w:rsidRPr="008A21C5" w:rsidRDefault="00554E35" w:rsidP="008A21C5">
      <w:pPr>
        <w:widowControl w:val="0"/>
        <w:numPr>
          <w:ilvl w:val="0"/>
          <w:numId w:val="1"/>
        </w:numPr>
        <w:tabs>
          <w:tab w:val="left" w:pos="320"/>
        </w:tabs>
        <w:autoSpaceDE w:val="0"/>
        <w:autoSpaceDN w:val="0"/>
        <w:adjustRightInd w:val="0"/>
        <w:spacing w:before="1" w:after="0" w:line="240" w:lineRule="auto"/>
        <w:ind w:left="321" w:right="67" w:hanging="182"/>
        <w:jc w:val="both"/>
        <w:rPr>
          <w:rFonts w:ascii="Arial" w:hAnsi="Arial" w:cs="Arial"/>
          <w:sz w:val="10"/>
          <w:szCs w:val="10"/>
          <w:lang w:val="sl"/>
        </w:rPr>
      </w:pPr>
      <w:r w:rsidRPr="008A21C5">
        <w:rPr>
          <w:rFonts w:ascii="Arial" w:hAnsi="Arial" w:cs="Arial"/>
          <w:sz w:val="10"/>
          <w:szCs w:val="10"/>
          <w:lang w:val="sl"/>
        </w:rPr>
        <w:t>Rezultatov testiranja protiteles IgM7IgG ne smete uporabljati kot izključni podatek za diagnosticiranje ali izključitev okužbe s SARS-CoV-2 ali za posredovanje podatkov o stanju okužbe.</w:t>
      </w:r>
    </w:p>
    <w:p w:rsidR="00554E35" w:rsidRPr="008A21C5" w:rsidRDefault="00554E35" w:rsidP="008A21C5">
      <w:pPr>
        <w:widowControl w:val="0"/>
        <w:numPr>
          <w:ilvl w:val="0"/>
          <w:numId w:val="1"/>
        </w:numPr>
        <w:tabs>
          <w:tab w:val="left" w:pos="320"/>
        </w:tabs>
        <w:autoSpaceDE w:val="0"/>
        <w:autoSpaceDN w:val="0"/>
        <w:adjustRightInd w:val="0"/>
        <w:spacing w:before="1" w:after="0" w:line="240" w:lineRule="auto"/>
        <w:ind w:left="321" w:right="67" w:hanging="182"/>
        <w:jc w:val="both"/>
        <w:rPr>
          <w:rFonts w:ascii="Arial" w:hAnsi="Arial" w:cs="Arial"/>
          <w:sz w:val="10"/>
          <w:szCs w:val="10"/>
          <w:lang w:val="sl"/>
        </w:rPr>
      </w:pPr>
      <w:r w:rsidRPr="008A21C5">
        <w:rPr>
          <w:rFonts w:ascii="Arial" w:hAnsi="Arial" w:cs="Arial"/>
          <w:sz w:val="10"/>
          <w:szCs w:val="10"/>
          <w:lang w:val="sl"/>
        </w:rPr>
        <w:t>Negativni rezultati ne izključujejo okužbe s SARS-CoV-2, še zlasti pri osebah, ki so bile v stiku z virusom. Spremljajoče testiranje z molekularno diagnostično metodo in/ali CT se lahko upošteva za izključitev okužb pri teh posameznikih.</w:t>
      </w:r>
    </w:p>
    <w:p w:rsidR="00554E35" w:rsidRPr="008A21C5" w:rsidRDefault="00554E35" w:rsidP="008A21C5">
      <w:pPr>
        <w:widowControl w:val="0"/>
        <w:numPr>
          <w:ilvl w:val="0"/>
          <w:numId w:val="1"/>
        </w:numPr>
        <w:tabs>
          <w:tab w:val="left" w:pos="320"/>
        </w:tabs>
        <w:autoSpaceDE w:val="0"/>
        <w:autoSpaceDN w:val="0"/>
        <w:adjustRightInd w:val="0"/>
        <w:spacing w:before="1" w:after="0" w:line="240" w:lineRule="auto"/>
        <w:ind w:left="321" w:right="66" w:hanging="182"/>
        <w:jc w:val="both"/>
        <w:rPr>
          <w:rFonts w:ascii="Arial" w:hAnsi="Arial" w:cs="Arial"/>
          <w:sz w:val="10"/>
          <w:szCs w:val="10"/>
          <w:lang w:val="sl"/>
        </w:rPr>
      </w:pPr>
      <w:r w:rsidRPr="008A21C5">
        <w:rPr>
          <w:rFonts w:ascii="Arial" w:hAnsi="Arial" w:cs="Arial"/>
          <w:sz w:val="10"/>
          <w:szCs w:val="10"/>
          <w:lang w:val="sl"/>
        </w:rPr>
        <w:t>Pozitivni rezultati se lahko pojavijo zaradi pretekle ali sedanje okužbe s sevi koronavirusa, ki ni SARS-CoV-2, npr. koronavirusi HKU1, NL63, OC43 ali 229E. Spremljajoče testiranje z molekularno diagnostično metodo in/ali CT se lahko upošteva za potrditev rezultata testiranja.</w:t>
      </w:r>
    </w:p>
    <w:p w:rsidR="00554E35" w:rsidRPr="008A21C5" w:rsidRDefault="00554E35" w:rsidP="008A21C5">
      <w:pPr>
        <w:widowControl w:val="0"/>
        <w:numPr>
          <w:ilvl w:val="0"/>
          <w:numId w:val="1"/>
        </w:numPr>
        <w:tabs>
          <w:tab w:val="left" w:pos="320"/>
        </w:tabs>
        <w:autoSpaceDE w:val="0"/>
        <w:autoSpaceDN w:val="0"/>
        <w:adjustRightInd w:val="0"/>
        <w:spacing w:after="0" w:line="240" w:lineRule="auto"/>
        <w:ind w:left="319" w:hanging="181"/>
        <w:rPr>
          <w:rFonts w:ascii="Arial" w:hAnsi="Arial" w:cs="Arial"/>
          <w:sz w:val="10"/>
          <w:szCs w:val="10"/>
          <w:lang w:val="sl"/>
        </w:rPr>
      </w:pPr>
      <w:r w:rsidRPr="008A21C5">
        <w:rPr>
          <w:rFonts w:ascii="Arial" w:hAnsi="Arial" w:cs="Arial"/>
          <w:sz w:val="10"/>
          <w:szCs w:val="10"/>
          <w:lang w:val="sl"/>
        </w:rPr>
        <w:t>Ni namenjeno za testiranje doma.</w:t>
      </w:r>
    </w:p>
    <w:p w:rsidR="00554E35" w:rsidRPr="008A21C5" w:rsidRDefault="00554E35" w:rsidP="008A21C5">
      <w:pPr>
        <w:widowControl w:val="0"/>
        <w:numPr>
          <w:ilvl w:val="0"/>
          <w:numId w:val="1"/>
        </w:numPr>
        <w:tabs>
          <w:tab w:val="left" w:pos="320"/>
        </w:tabs>
        <w:autoSpaceDE w:val="0"/>
        <w:autoSpaceDN w:val="0"/>
        <w:adjustRightInd w:val="0"/>
        <w:spacing w:after="0" w:line="240" w:lineRule="auto"/>
        <w:ind w:left="319" w:hanging="181"/>
        <w:rPr>
          <w:rFonts w:ascii="Arial" w:hAnsi="Arial" w:cs="Arial"/>
          <w:sz w:val="10"/>
          <w:szCs w:val="10"/>
          <w:lang w:val="sl"/>
        </w:rPr>
      </w:pPr>
      <w:r w:rsidRPr="008A21C5">
        <w:rPr>
          <w:rFonts w:ascii="Arial" w:hAnsi="Arial" w:cs="Arial"/>
          <w:sz w:val="10"/>
          <w:szCs w:val="10"/>
          <w:lang w:val="sl"/>
        </w:rPr>
        <w:t>Ni namenjeno za presejanje odvzete krvi.</w:t>
      </w:r>
    </w:p>
    <w:p w:rsidR="00554E35" w:rsidRPr="008A21C5" w:rsidRDefault="00554E35" w:rsidP="008A21C5">
      <w:pPr>
        <w:widowControl w:val="0"/>
        <w:numPr>
          <w:ilvl w:val="0"/>
          <w:numId w:val="1"/>
        </w:numPr>
        <w:tabs>
          <w:tab w:val="left" w:pos="320"/>
        </w:tabs>
        <w:autoSpaceDE w:val="0"/>
        <w:autoSpaceDN w:val="0"/>
        <w:adjustRightInd w:val="0"/>
        <w:spacing w:after="0" w:line="240" w:lineRule="auto"/>
        <w:ind w:left="319" w:hanging="181"/>
        <w:rPr>
          <w:rFonts w:ascii="Arial" w:hAnsi="Arial" w:cs="Arial"/>
          <w:sz w:val="10"/>
          <w:szCs w:val="10"/>
          <w:lang w:val="sl"/>
        </w:rPr>
      </w:pPr>
      <w:r w:rsidRPr="008A21C5">
        <w:rPr>
          <w:rFonts w:ascii="Arial" w:hAnsi="Arial" w:cs="Arial"/>
          <w:sz w:val="10"/>
          <w:szCs w:val="10"/>
          <w:lang w:val="sl"/>
        </w:rPr>
        <w:t>Ne uporabljajte visoko hemolitičnih vzorcev.</w:t>
      </w:r>
    </w:p>
    <w:p w:rsidR="00554E35" w:rsidRPr="008A21C5" w:rsidRDefault="00554E35" w:rsidP="008A21C5">
      <w:pPr>
        <w:widowControl w:val="0"/>
        <w:numPr>
          <w:ilvl w:val="0"/>
          <w:numId w:val="1"/>
        </w:numPr>
        <w:tabs>
          <w:tab w:val="left" w:pos="320"/>
        </w:tabs>
        <w:autoSpaceDE w:val="0"/>
        <w:autoSpaceDN w:val="0"/>
        <w:adjustRightInd w:val="0"/>
        <w:spacing w:after="0" w:line="240" w:lineRule="auto"/>
        <w:ind w:left="321" w:right="67" w:hanging="182"/>
        <w:rPr>
          <w:rFonts w:ascii="Arial" w:hAnsi="Arial" w:cs="Arial"/>
          <w:sz w:val="10"/>
          <w:szCs w:val="10"/>
          <w:lang w:val="sl"/>
        </w:rPr>
      </w:pPr>
      <w:r w:rsidRPr="008A21C5">
        <w:rPr>
          <w:rFonts w:ascii="Arial" w:hAnsi="Arial" w:cs="Arial"/>
          <w:sz w:val="10"/>
          <w:szCs w:val="10"/>
          <w:lang w:val="sl"/>
        </w:rPr>
        <w:t>Nadaljnji molekularni diagnostični in/ali CT testi so priporočljivi za identifikacijo dejanskega fizičnega stanja.</w:t>
      </w:r>
    </w:p>
    <w:p w:rsidR="008A21C5" w:rsidRPr="008A21C5" w:rsidRDefault="00554E35" w:rsidP="008A21C5">
      <w:pPr>
        <w:widowControl w:val="0"/>
        <w:numPr>
          <w:ilvl w:val="0"/>
          <w:numId w:val="1"/>
        </w:numPr>
        <w:tabs>
          <w:tab w:val="left" w:pos="320"/>
        </w:tabs>
        <w:autoSpaceDE w:val="0"/>
        <w:autoSpaceDN w:val="0"/>
        <w:adjustRightInd w:val="0"/>
        <w:spacing w:before="74" w:after="0" w:line="240" w:lineRule="auto"/>
        <w:ind w:left="109" w:right="66" w:firstLine="33"/>
        <w:jc w:val="both"/>
        <w:rPr>
          <w:rFonts w:ascii="Arial" w:hAnsi="Arial" w:cs="Arial"/>
          <w:b/>
          <w:bCs/>
          <w:sz w:val="10"/>
          <w:szCs w:val="10"/>
          <w:lang w:val="sl"/>
        </w:rPr>
      </w:pPr>
      <w:r w:rsidRPr="008A21C5">
        <w:rPr>
          <w:rFonts w:ascii="Arial" w:hAnsi="Arial" w:cs="Arial"/>
          <w:sz w:val="10"/>
          <w:szCs w:val="10"/>
          <w:lang w:val="sl"/>
        </w:rPr>
        <w:t>Testni pripomoček je namenjen zgolj za enkratno uporabo. Ne uporabljajte testnega kompleta s pretečenim rokom uporabnosti.</w:t>
      </w:r>
    </w:p>
    <w:p w:rsidR="008A21C5" w:rsidRPr="008A21C5" w:rsidRDefault="00554E35" w:rsidP="008A21C5">
      <w:pPr>
        <w:widowControl w:val="0"/>
        <w:numPr>
          <w:ilvl w:val="0"/>
          <w:numId w:val="1"/>
        </w:numPr>
        <w:tabs>
          <w:tab w:val="left" w:pos="320"/>
        </w:tabs>
        <w:autoSpaceDE w:val="0"/>
        <w:autoSpaceDN w:val="0"/>
        <w:adjustRightInd w:val="0"/>
        <w:spacing w:before="74" w:after="0" w:line="240" w:lineRule="auto"/>
        <w:ind w:left="109" w:right="66" w:firstLine="33"/>
        <w:jc w:val="both"/>
        <w:rPr>
          <w:rFonts w:ascii="Arial" w:hAnsi="Arial" w:cs="Arial"/>
          <w:b/>
          <w:bCs/>
          <w:sz w:val="10"/>
          <w:szCs w:val="10"/>
          <w:lang w:val="sl"/>
        </w:rPr>
      </w:pPr>
      <w:r w:rsidRPr="008A21C5">
        <w:rPr>
          <w:rFonts w:ascii="Arial" w:hAnsi="Arial" w:cs="Arial"/>
          <w:sz w:val="10"/>
          <w:szCs w:val="10"/>
          <w:lang w:val="sl"/>
        </w:rPr>
        <w:t>Za vzorce uporabite le polno kri (konica prsta/venska), serum ali plazmo.  Za natančne rezultate upoštevajte navodila za uporabo.</w:t>
      </w:r>
    </w:p>
    <w:p w:rsidR="008A21C5" w:rsidRPr="008A21C5" w:rsidRDefault="00554E35" w:rsidP="008A21C5">
      <w:pPr>
        <w:widowControl w:val="0"/>
        <w:numPr>
          <w:ilvl w:val="0"/>
          <w:numId w:val="1"/>
        </w:numPr>
        <w:tabs>
          <w:tab w:val="left" w:pos="320"/>
        </w:tabs>
        <w:autoSpaceDE w:val="0"/>
        <w:autoSpaceDN w:val="0"/>
        <w:adjustRightInd w:val="0"/>
        <w:spacing w:before="74" w:after="0" w:line="240" w:lineRule="auto"/>
        <w:ind w:left="109" w:right="66" w:firstLine="33"/>
        <w:jc w:val="both"/>
        <w:rPr>
          <w:rFonts w:ascii="Arial" w:hAnsi="Arial" w:cs="Arial"/>
          <w:b/>
          <w:bCs/>
          <w:sz w:val="10"/>
          <w:szCs w:val="10"/>
          <w:lang w:val="sl"/>
        </w:rPr>
      </w:pPr>
      <w:r w:rsidRPr="008A21C5">
        <w:rPr>
          <w:rFonts w:ascii="Arial" w:hAnsi="Arial" w:cs="Arial"/>
          <w:sz w:val="10"/>
          <w:szCs w:val="10"/>
          <w:lang w:val="sl"/>
        </w:rPr>
        <w:t>Vsi deli kompleta se upoštevajo kot biološka nevarnost in so lahko potencialni prenašalci infekcijskih bolezni iz patogenov v krvi, tudi po čiščenju in razkuževanju. Za odstranjevanje uporabljenih testnih kompletov upoštevajte ustrezne previdnostne ukrepe in lokalne predpise.</w:t>
      </w:r>
    </w:p>
    <w:p w:rsidR="00554E35" w:rsidRPr="008A21C5" w:rsidRDefault="00554E35" w:rsidP="008A21C5">
      <w:pPr>
        <w:widowControl w:val="0"/>
        <w:tabs>
          <w:tab w:val="left" w:pos="320"/>
        </w:tabs>
        <w:autoSpaceDE w:val="0"/>
        <w:autoSpaceDN w:val="0"/>
        <w:adjustRightInd w:val="0"/>
        <w:spacing w:before="74" w:after="0" w:line="240" w:lineRule="auto"/>
        <w:ind w:left="109" w:right="66"/>
        <w:jc w:val="both"/>
        <w:rPr>
          <w:rFonts w:ascii="Arial" w:hAnsi="Arial" w:cs="Arial"/>
          <w:b/>
          <w:bCs/>
          <w:sz w:val="12"/>
          <w:szCs w:val="12"/>
          <w:lang w:val="sl"/>
        </w:rPr>
      </w:pPr>
      <w:r w:rsidRPr="008A21C5">
        <w:rPr>
          <w:rFonts w:ascii="Arial" w:hAnsi="Arial" w:cs="Arial"/>
          <w:b/>
          <w:bCs/>
          <w:color w:val="FFFFFF"/>
          <w:sz w:val="12"/>
          <w:szCs w:val="12"/>
          <w:highlight w:val="black"/>
          <w:lang w:val="sl"/>
        </w:rPr>
        <w:t xml:space="preserve"> POSTOPEK TESTIRANJA</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p>
    <w:p w:rsidR="00554E35" w:rsidRPr="008A21C5" w:rsidRDefault="00554E35">
      <w:pPr>
        <w:widowControl w:val="0"/>
        <w:autoSpaceDE w:val="0"/>
        <w:autoSpaceDN w:val="0"/>
        <w:adjustRightInd w:val="0"/>
        <w:spacing w:before="93" w:after="0" w:line="240" w:lineRule="auto"/>
        <w:ind w:left="139"/>
        <w:rPr>
          <w:rFonts w:ascii="Arial" w:hAnsi="Arial" w:cs="Arial"/>
          <w:b/>
          <w:bCs/>
          <w:sz w:val="10"/>
          <w:szCs w:val="10"/>
          <w:lang w:val="en-US"/>
        </w:rPr>
      </w:pPr>
      <w:r w:rsidRPr="008A21C5">
        <w:rPr>
          <w:rFonts w:ascii="Arial" w:hAnsi="Arial" w:cs="Arial"/>
          <w:b/>
          <w:bCs/>
          <w:sz w:val="10"/>
          <w:szCs w:val="10"/>
          <w:lang w:val="sl"/>
        </w:rPr>
        <w:t xml:space="preserve">Pred testiranjem pustite, da se testni pripomočki in pufer uravnotežijo pri temperaturi 15–30 </w:t>
      </w:r>
      <w:r w:rsidRPr="008A21C5">
        <w:rPr>
          <w:rFonts w:ascii="Arial" w:hAnsi="Arial" w:cs="Arial"/>
          <w:b/>
          <w:bCs/>
          <w:sz w:val="10"/>
          <w:szCs w:val="10"/>
          <w:lang w:val="en-US"/>
        </w:rPr>
        <w:t>°C.</w:t>
      </w:r>
    </w:p>
    <w:p w:rsidR="00554E35" w:rsidRPr="008A21C5" w:rsidRDefault="00554E35" w:rsidP="008A21C5">
      <w:pPr>
        <w:widowControl w:val="0"/>
        <w:numPr>
          <w:ilvl w:val="0"/>
          <w:numId w:val="1"/>
        </w:numPr>
        <w:tabs>
          <w:tab w:val="left" w:pos="336"/>
        </w:tabs>
        <w:autoSpaceDE w:val="0"/>
        <w:autoSpaceDN w:val="0"/>
        <w:adjustRightInd w:val="0"/>
        <w:spacing w:after="0" w:line="240" w:lineRule="auto"/>
        <w:ind w:left="335" w:hanging="197"/>
        <w:rPr>
          <w:rFonts w:ascii="Arial" w:hAnsi="Arial" w:cs="Arial"/>
          <w:sz w:val="10"/>
          <w:szCs w:val="10"/>
          <w:lang w:val="sl"/>
        </w:rPr>
      </w:pPr>
      <w:r w:rsidRPr="008A21C5">
        <w:rPr>
          <w:rFonts w:ascii="Arial" w:hAnsi="Arial" w:cs="Arial"/>
          <w:sz w:val="10"/>
          <w:szCs w:val="10"/>
          <w:lang w:val="sl"/>
        </w:rPr>
        <w:t>Testni pripomoček položite na čisto in ravno podlago.</w:t>
      </w:r>
    </w:p>
    <w:p w:rsidR="00554E35" w:rsidRPr="008A21C5" w:rsidRDefault="00554E35" w:rsidP="008A21C5">
      <w:pPr>
        <w:widowControl w:val="0"/>
        <w:numPr>
          <w:ilvl w:val="0"/>
          <w:numId w:val="1"/>
        </w:numPr>
        <w:tabs>
          <w:tab w:val="left" w:pos="336"/>
        </w:tabs>
        <w:autoSpaceDE w:val="0"/>
        <w:autoSpaceDN w:val="0"/>
        <w:adjustRightInd w:val="0"/>
        <w:spacing w:after="0" w:line="240" w:lineRule="auto"/>
        <w:ind w:left="335" w:right="68" w:hanging="196"/>
        <w:rPr>
          <w:rFonts w:ascii="Arial" w:hAnsi="Arial" w:cs="Arial"/>
          <w:sz w:val="10"/>
          <w:szCs w:val="10"/>
          <w:lang w:val="el-GR"/>
        </w:rPr>
      </w:pPr>
      <w:r w:rsidRPr="008A21C5">
        <w:rPr>
          <w:rFonts w:ascii="Arial" w:hAnsi="Arial" w:cs="Arial"/>
          <w:sz w:val="10"/>
          <w:szCs w:val="10"/>
          <w:lang w:val="sl"/>
        </w:rPr>
        <w:t xml:space="preserve">Na vzorčni del testnega pripomočka dodajte 10 </w:t>
      </w:r>
      <w:r w:rsidRPr="008A21C5">
        <w:rPr>
          <w:rFonts w:ascii="Arial" w:hAnsi="Arial" w:cs="Arial"/>
          <w:sz w:val="10"/>
          <w:szCs w:val="10"/>
          <w:lang w:val="el-GR"/>
        </w:rPr>
        <w:t>μl polne krvi (konica prsta/venska), seruma ali plazme.</w:t>
      </w:r>
    </w:p>
    <w:p w:rsidR="00554E35" w:rsidRPr="008A21C5" w:rsidRDefault="00554E35" w:rsidP="008A21C5">
      <w:pPr>
        <w:widowControl w:val="0"/>
        <w:numPr>
          <w:ilvl w:val="0"/>
          <w:numId w:val="1"/>
        </w:numPr>
        <w:tabs>
          <w:tab w:val="left" w:pos="336"/>
        </w:tabs>
        <w:autoSpaceDE w:val="0"/>
        <w:autoSpaceDN w:val="0"/>
        <w:adjustRightInd w:val="0"/>
        <w:spacing w:after="0" w:line="240" w:lineRule="auto"/>
        <w:ind w:left="335" w:hanging="197"/>
        <w:rPr>
          <w:rFonts w:ascii="Arial" w:hAnsi="Arial" w:cs="Arial"/>
          <w:sz w:val="10"/>
          <w:szCs w:val="10"/>
          <w:lang w:val="el-GR"/>
        </w:rPr>
      </w:pPr>
      <w:r w:rsidRPr="008A21C5">
        <w:rPr>
          <w:rFonts w:ascii="Arial" w:hAnsi="Arial" w:cs="Arial"/>
          <w:sz w:val="10"/>
          <w:szCs w:val="10"/>
          <w:lang w:val="sl"/>
        </w:rPr>
        <w:t xml:space="preserve">Dodajte 2 kapljici (okoli 60–80 </w:t>
      </w:r>
      <w:r w:rsidRPr="008A21C5">
        <w:rPr>
          <w:rFonts w:ascii="Arial" w:hAnsi="Arial" w:cs="Arial"/>
          <w:sz w:val="10"/>
          <w:szCs w:val="10"/>
          <w:lang w:val="el-GR"/>
        </w:rPr>
        <w:t>μl) pufra na vzor</w:t>
      </w:r>
      <w:r w:rsidRPr="008A21C5">
        <w:rPr>
          <w:rFonts w:ascii="Arial" w:hAnsi="Arial" w:cs="Arial"/>
          <w:sz w:val="10"/>
          <w:szCs w:val="10"/>
        </w:rPr>
        <w:t>č</w:t>
      </w:r>
      <w:r w:rsidRPr="008A21C5">
        <w:rPr>
          <w:rFonts w:ascii="Arial" w:hAnsi="Arial" w:cs="Arial"/>
          <w:sz w:val="10"/>
          <w:szCs w:val="10"/>
          <w:lang w:val="el-GR"/>
        </w:rPr>
        <w:t>ni del testnega pripomo</w:t>
      </w:r>
      <w:r w:rsidRPr="008A21C5">
        <w:rPr>
          <w:rFonts w:ascii="Arial" w:hAnsi="Arial" w:cs="Arial"/>
          <w:sz w:val="10"/>
          <w:szCs w:val="10"/>
        </w:rPr>
        <w:t>č</w:t>
      </w:r>
      <w:r w:rsidRPr="008A21C5">
        <w:rPr>
          <w:rFonts w:ascii="Arial" w:hAnsi="Arial" w:cs="Arial"/>
          <w:sz w:val="10"/>
          <w:szCs w:val="10"/>
          <w:lang w:val="el-GR"/>
        </w:rPr>
        <w:t>ka.</w:t>
      </w:r>
    </w:p>
    <w:p w:rsidR="00554E35" w:rsidRPr="008A21C5" w:rsidRDefault="00554E35" w:rsidP="008A21C5">
      <w:pPr>
        <w:widowControl w:val="0"/>
        <w:numPr>
          <w:ilvl w:val="0"/>
          <w:numId w:val="1"/>
        </w:numPr>
        <w:tabs>
          <w:tab w:val="left" w:pos="336"/>
        </w:tabs>
        <w:autoSpaceDE w:val="0"/>
        <w:autoSpaceDN w:val="0"/>
        <w:adjustRightInd w:val="0"/>
        <w:spacing w:after="0" w:line="137" w:lineRule="atLeast"/>
        <w:ind w:left="335" w:hanging="197"/>
        <w:rPr>
          <w:rFonts w:ascii="Arial" w:hAnsi="Arial" w:cs="Arial"/>
          <w:sz w:val="10"/>
          <w:szCs w:val="10"/>
          <w:lang w:val="sl"/>
        </w:rPr>
      </w:pPr>
      <w:r w:rsidRPr="008A21C5">
        <w:rPr>
          <w:rFonts w:ascii="Arial" w:hAnsi="Arial" w:cs="Arial"/>
          <w:sz w:val="10"/>
          <w:szCs w:val="10"/>
          <w:lang w:val="sl"/>
        </w:rPr>
        <w:t>Rezultat odčitajte po 15 minutah. Rezultata ne odčitavajte po 20 minutah.</w:t>
      </w:r>
    </w:p>
    <w:p w:rsidR="00554E35" w:rsidRPr="008A21C5" w:rsidRDefault="00554E35">
      <w:pPr>
        <w:widowControl w:val="0"/>
        <w:autoSpaceDE w:val="0"/>
        <w:autoSpaceDN w:val="0"/>
        <w:adjustRightInd w:val="0"/>
        <w:spacing w:after="0" w:line="240" w:lineRule="auto"/>
        <w:ind w:left="139"/>
        <w:rPr>
          <w:rFonts w:ascii="Arial" w:hAnsi="Arial" w:cs="Arial"/>
          <w:i/>
          <w:iCs/>
          <w:sz w:val="10"/>
          <w:szCs w:val="10"/>
          <w:lang w:val="sl"/>
        </w:rPr>
      </w:pPr>
      <w:r w:rsidRPr="008A21C5">
        <w:rPr>
          <w:rFonts w:ascii="Arial" w:hAnsi="Arial" w:cs="Arial"/>
          <w:b/>
          <w:bCs/>
          <w:i/>
          <w:iCs/>
          <w:sz w:val="10"/>
          <w:szCs w:val="10"/>
          <w:lang w:val="sl"/>
        </w:rPr>
        <w:t xml:space="preserve">Opomba: </w:t>
      </w:r>
      <w:r w:rsidRPr="008A21C5">
        <w:rPr>
          <w:rFonts w:ascii="Arial" w:hAnsi="Arial" w:cs="Arial"/>
          <w:i/>
          <w:iCs/>
          <w:sz w:val="10"/>
          <w:szCs w:val="10"/>
          <w:lang w:val="sl"/>
        </w:rPr>
        <w:t>S pufrom ravnajte previdno, da ne pride v stik z očmi ali kožo. Če pride v stik z očmi ali kožo, temeljito splaknite z vodo.</w:t>
      </w:r>
    </w:p>
    <w:p w:rsidR="00554E35" w:rsidRPr="008A21C5" w:rsidRDefault="00554E35">
      <w:pPr>
        <w:widowControl w:val="0"/>
        <w:tabs>
          <w:tab w:val="left" w:pos="1288"/>
          <w:tab w:val="left" w:pos="5018"/>
        </w:tabs>
        <w:autoSpaceDE w:val="0"/>
        <w:autoSpaceDN w:val="0"/>
        <w:adjustRightInd w:val="0"/>
        <w:spacing w:before="93" w:after="0" w:line="240" w:lineRule="auto"/>
        <w:ind w:left="109"/>
        <w:rPr>
          <w:rFonts w:ascii="Arial" w:hAnsi="Arial" w:cs="Arial"/>
          <w:b/>
          <w:bCs/>
          <w:sz w:val="12"/>
          <w:szCs w:val="12"/>
          <w:lang w:val="sl"/>
        </w:rPr>
      </w:pPr>
      <w:r w:rsidRPr="008A21C5">
        <w:rPr>
          <w:rFonts w:ascii="Arial" w:hAnsi="Arial" w:cs="Arial"/>
          <w:b/>
          <w:bCs/>
          <w:color w:val="FFFFFF"/>
          <w:sz w:val="12"/>
          <w:szCs w:val="12"/>
          <w:highlight w:val="black"/>
          <w:lang w:val="sl"/>
        </w:rPr>
        <w:t xml:space="preserve"> RAZLAGA REZULTATOV TESTIRANJA</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p>
    <w:p w:rsidR="00554E35" w:rsidRPr="008A21C5" w:rsidRDefault="00554E35" w:rsidP="008A21C5">
      <w:pPr>
        <w:widowControl w:val="0"/>
        <w:numPr>
          <w:ilvl w:val="0"/>
          <w:numId w:val="1"/>
        </w:numPr>
        <w:tabs>
          <w:tab w:val="left" w:pos="273"/>
        </w:tabs>
        <w:autoSpaceDE w:val="0"/>
        <w:autoSpaceDN w:val="0"/>
        <w:adjustRightInd w:val="0"/>
        <w:spacing w:before="93" w:after="0" w:line="240" w:lineRule="auto"/>
        <w:ind w:left="272" w:hanging="134"/>
        <w:rPr>
          <w:rFonts w:ascii="Arial" w:hAnsi="Arial" w:cs="Arial"/>
          <w:b/>
          <w:bCs/>
          <w:sz w:val="10"/>
          <w:szCs w:val="10"/>
          <w:lang w:val="sl"/>
        </w:rPr>
      </w:pPr>
      <w:r w:rsidRPr="008A21C5">
        <w:rPr>
          <w:rFonts w:ascii="Arial" w:hAnsi="Arial" w:cs="Arial"/>
          <w:b/>
          <w:bCs/>
          <w:sz w:val="10"/>
          <w:szCs w:val="10"/>
          <w:lang w:val="sl"/>
        </w:rPr>
        <w:t>Pozitiven rezultat:</w:t>
      </w:r>
    </w:p>
    <w:p w:rsidR="00554E35" w:rsidRPr="008A21C5" w:rsidRDefault="00554E35">
      <w:pPr>
        <w:widowControl w:val="0"/>
        <w:autoSpaceDE w:val="0"/>
        <w:autoSpaceDN w:val="0"/>
        <w:adjustRightInd w:val="0"/>
        <w:spacing w:after="0" w:line="240" w:lineRule="auto"/>
        <w:ind w:left="139"/>
        <w:rPr>
          <w:rFonts w:ascii="Arial" w:hAnsi="Arial" w:cs="Arial"/>
          <w:b/>
          <w:bCs/>
          <w:sz w:val="10"/>
          <w:szCs w:val="10"/>
          <w:lang w:val="sl"/>
        </w:rPr>
      </w:pPr>
      <w:r w:rsidRPr="008A21C5">
        <w:rPr>
          <w:rFonts w:ascii="Arial" w:hAnsi="Arial" w:cs="Arial"/>
          <w:b/>
          <w:bCs/>
          <w:sz w:val="10"/>
          <w:szCs w:val="10"/>
          <w:u w:val="single"/>
          <w:lang w:val="sl"/>
        </w:rPr>
        <w:t>Pozitivno protitelo IgM za SARS-CoV-2:</w:t>
      </w:r>
    </w:p>
    <w:p w:rsidR="00554E35" w:rsidRPr="008A21C5" w:rsidRDefault="00554E35">
      <w:pPr>
        <w:widowControl w:val="0"/>
        <w:autoSpaceDE w:val="0"/>
        <w:autoSpaceDN w:val="0"/>
        <w:adjustRightInd w:val="0"/>
        <w:spacing w:after="0" w:line="240" w:lineRule="auto"/>
        <w:ind w:left="139" w:right="17"/>
        <w:rPr>
          <w:rFonts w:ascii="Arial" w:hAnsi="Arial" w:cs="Arial"/>
          <w:sz w:val="10"/>
          <w:szCs w:val="10"/>
          <w:lang w:val="sl"/>
        </w:rPr>
      </w:pPr>
      <w:r w:rsidRPr="008A21C5">
        <w:rPr>
          <w:rFonts w:ascii="Arial" w:hAnsi="Arial" w:cs="Arial"/>
          <w:sz w:val="10"/>
          <w:szCs w:val="10"/>
          <w:lang w:val="sl"/>
        </w:rPr>
        <w:t>Pojavita se kontrolna linija C</w:t>
      </w:r>
      <w:r w:rsidRPr="008A21C5">
        <w:rPr>
          <w:rFonts w:ascii="Arial" w:hAnsi="Arial" w:cs="Arial"/>
          <w:sz w:val="10"/>
          <w:szCs w:val="10"/>
          <w:u w:val="single"/>
          <w:lang w:val="sl"/>
        </w:rPr>
        <w:t xml:space="preserve"> in</w:t>
      </w:r>
      <w:r w:rsidRPr="008A21C5">
        <w:rPr>
          <w:rFonts w:ascii="Arial" w:hAnsi="Arial" w:cs="Arial"/>
          <w:sz w:val="10"/>
          <w:szCs w:val="10"/>
          <w:lang w:val="sl"/>
        </w:rPr>
        <w:t xml:space="preserve"> detekcijska linija za IgM, medtem ko se detekcijska linija za IgG ne pojavi.</w:t>
      </w:r>
    </w:p>
    <w:p w:rsidR="00554E35" w:rsidRPr="008A21C5" w:rsidRDefault="00554E35">
      <w:pPr>
        <w:widowControl w:val="0"/>
        <w:autoSpaceDE w:val="0"/>
        <w:autoSpaceDN w:val="0"/>
        <w:adjustRightInd w:val="0"/>
        <w:spacing w:after="0" w:line="240" w:lineRule="auto"/>
        <w:ind w:left="139"/>
        <w:rPr>
          <w:rFonts w:ascii="Arial" w:hAnsi="Arial" w:cs="Arial"/>
          <w:b/>
          <w:bCs/>
          <w:sz w:val="10"/>
          <w:szCs w:val="10"/>
          <w:lang w:val="sl"/>
        </w:rPr>
      </w:pPr>
      <w:r w:rsidRPr="008A21C5">
        <w:rPr>
          <w:rFonts w:ascii="Arial" w:hAnsi="Arial" w:cs="Arial"/>
          <w:b/>
          <w:bCs/>
          <w:sz w:val="10"/>
          <w:szCs w:val="10"/>
          <w:u w:val="single"/>
          <w:lang w:val="sl"/>
        </w:rPr>
        <w:t>Pozitivno protitelo IgG za SARS-CoV-2:</w:t>
      </w:r>
    </w:p>
    <w:p w:rsidR="00554E35" w:rsidRPr="008A21C5" w:rsidRDefault="00554E35">
      <w:pPr>
        <w:widowControl w:val="0"/>
        <w:autoSpaceDE w:val="0"/>
        <w:autoSpaceDN w:val="0"/>
        <w:adjustRightInd w:val="0"/>
        <w:spacing w:after="0" w:line="240" w:lineRule="auto"/>
        <w:ind w:left="139" w:right="17"/>
        <w:rPr>
          <w:rFonts w:ascii="Arial" w:hAnsi="Arial" w:cs="Arial"/>
          <w:sz w:val="10"/>
          <w:szCs w:val="10"/>
          <w:lang w:val="sl"/>
        </w:rPr>
      </w:pPr>
      <w:r w:rsidRPr="008A21C5">
        <w:rPr>
          <w:rFonts w:ascii="Arial" w:hAnsi="Arial" w:cs="Arial"/>
          <w:sz w:val="10"/>
          <w:szCs w:val="10"/>
          <w:lang w:val="sl"/>
        </w:rPr>
        <w:t>Pojavita se kontrolna linija C</w:t>
      </w:r>
      <w:r w:rsidRPr="008A21C5">
        <w:rPr>
          <w:rFonts w:ascii="Arial" w:hAnsi="Arial" w:cs="Arial"/>
          <w:sz w:val="10"/>
          <w:szCs w:val="10"/>
          <w:u w:val="single"/>
          <w:lang w:val="sl"/>
        </w:rPr>
        <w:t xml:space="preserve"> in</w:t>
      </w:r>
      <w:r w:rsidRPr="008A21C5">
        <w:rPr>
          <w:rFonts w:ascii="Arial" w:hAnsi="Arial" w:cs="Arial"/>
          <w:sz w:val="10"/>
          <w:szCs w:val="10"/>
          <w:lang w:val="sl"/>
        </w:rPr>
        <w:t xml:space="preserve"> detekcijska linija za IgG, medtem ko se detekcijska linija za IgM ne pojavi.</w:t>
      </w:r>
    </w:p>
    <w:p w:rsidR="00554E35" w:rsidRPr="008A21C5" w:rsidRDefault="00554E35">
      <w:pPr>
        <w:widowControl w:val="0"/>
        <w:autoSpaceDE w:val="0"/>
        <w:autoSpaceDN w:val="0"/>
        <w:adjustRightInd w:val="0"/>
        <w:spacing w:after="0" w:line="137" w:lineRule="atLeast"/>
        <w:ind w:left="153"/>
        <w:rPr>
          <w:rFonts w:ascii="Arial" w:hAnsi="Arial" w:cs="Arial"/>
          <w:b/>
          <w:bCs/>
          <w:sz w:val="10"/>
          <w:szCs w:val="10"/>
          <w:lang w:val="sl"/>
        </w:rPr>
      </w:pPr>
      <w:r w:rsidRPr="008A21C5">
        <w:rPr>
          <w:rFonts w:ascii="Arial" w:hAnsi="Arial" w:cs="Arial"/>
          <w:b/>
          <w:bCs/>
          <w:sz w:val="10"/>
          <w:szCs w:val="10"/>
          <w:u w:val="single"/>
          <w:lang w:val="sl"/>
        </w:rPr>
        <w:t>Pozitivna protitelesa IgM in IgG za SARS-CoV-2:</w:t>
      </w:r>
    </w:p>
    <w:p w:rsidR="00554E35" w:rsidRPr="008A21C5" w:rsidRDefault="00554E35">
      <w:pPr>
        <w:widowControl w:val="0"/>
        <w:autoSpaceDE w:val="0"/>
        <w:autoSpaceDN w:val="0"/>
        <w:adjustRightInd w:val="0"/>
        <w:spacing w:after="0" w:line="137" w:lineRule="atLeast"/>
        <w:ind w:left="153"/>
        <w:rPr>
          <w:rFonts w:ascii="Arial" w:hAnsi="Arial" w:cs="Arial"/>
          <w:sz w:val="10"/>
          <w:szCs w:val="10"/>
          <w:lang w:val="sl"/>
        </w:rPr>
      </w:pPr>
      <w:r w:rsidRPr="008A21C5">
        <w:rPr>
          <w:rFonts w:ascii="Arial" w:hAnsi="Arial" w:cs="Arial"/>
          <w:sz w:val="10"/>
          <w:szCs w:val="10"/>
          <w:lang w:val="sl"/>
        </w:rPr>
        <w:t xml:space="preserve">Vse tri linije se pojavijo, tudi kontrolna linija C </w:t>
      </w:r>
      <w:r w:rsidRPr="008A21C5">
        <w:rPr>
          <w:rFonts w:ascii="Arial" w:hAnsi="Arial" w:cs="Arial"/>
          <w:sz w:val="10"/>
          <w:szCs w:val="10"/>
          <w:u w:val="single"/>
          <w:lang w:val="sl"/>
        </w:rPr>
        <w:t>in</w:t>
      </w:r>
      <w:r w:rsidRPr="008A21C5">
        <w:rPr>
          <w:rFonts w:ascii="Arial" w:hAnsi="Arial" w:cs="Arial"/>
          <w:sz w:val="10"/>
          <w:szCs w:val="10"/>
          <w:lang w:val="sl"/>
        </w:rPr>
        <w:t xml:space="preserve"> detekcijski liniji za IgM in IgG.</w:t>
      </w:r>
    </w:p>
    <w:p w:rsidR="00554E35" w:rsidRPr="008A21C5" w:rsidRDefault="00554E35" w:rsidP="008A21C5">
      <w:pPr>
        <w:widowControl w:val="0"/>
        <w:numPr>
          <w:ilvl w:val="0"/>
          <w:numId w:val="1"/>
        </w:numPr>
        <w:tabs>
          <w:tab w:val="left" w:pos="273"/>
        </w:tabs>
        <w:autoSpaceDE w:val="0"/>
        <w:autoSpaceDN w:val="0"/>
        <w:adjustRightInd w:val="0"/>
        <w:spacing w:before="1" w:after="0" w:line="240" w:lineRule="auto"/>
        <w:ind w:left="272" w:hanging="134"/>
        <w:rPr>
          <w:rFonts w:ascii="Arial" w:hAnsi="Arial" w:cs="Arial"/>
          <w:b/>
          <w:bCs/>
          <w:sz w:val="10"/>
          <w:szCs w:val="10"/>
          <w:lang w:val="sl"/>
        </w:rPr>
      </w:pPr>
      <w:r w:rsidRPr="008A21C5">
        <w:rPr>
          <w:rFonts w:ascii="Arial" w:hAnsi="Arial" w:cs="Arial"/>
          <w:b/>
          <w:bCs/>
          <w:sz w:val="10"/>
          <w:szCs w:val="10"/>
          <w:lang w:val="sl"/>
        </w:rPr>
        <w:t>Negativen rezultat:</w:t>
      </w:r>
    </w:p>
    <w:p w:rsidR="00554E35" w:rsidRPr="008A21C5" w:rsidRDefault="00554E35">
      <w:pPr>
        <w:widowControl w:val="0"/>
        <w:autoSpaceDE w:val="0"/>
        <w:autoSpaceDN w:val="0"/>
        <w:adjustRightInd w:val="0"/>
        <w:spacing w:after="0" w:line="240" w:lineRule="auto"/>
        <w:ind w:left="139" w:right="67"/>
        <w:jc w:val="both"/>
        <w:rPr>
          <w:rFonts w:ascii="Arial" w:hAnsi="Arial" w:cs="Arial"/>
          <w:sz w:val="10"/>
          <w:szCs w:val="10"/>
          <w:lang w:val="sl"/>
        </w:rPr>
      </w:pPr>
      <w:r w:rsidRPr="008A21C5">
        <w:rPr>
          <w:rFonts w:ascii="Arial" w:hAnsi="Arial" w:cs="Arial"/>
          <w:sz w:val="10"/>
          <w:szCs w:val="10"/>
          <w:lang w:val="sl"/>
        </w:rPr>
        <w:t>Pojavi se le C-linija za kontrolo kakovosti, na detekcijskih linijah za IgM ali IgG pa se ne pojavi nobena druga črta. To označuje, da je testni rezultat negativen tako za protitelesa IgM in IgG za SARS-CoV-2.</w:t>
      </w:r>
    </w:p>
    <w:p w:rsidR="00554E35" w:rsidRPr="008A21C5" w:rsidRDefault="00554E35" w:rsidP="008A21C5">
      <w:pPr>
        <w:widowControl w:val="0"/>
        <w:numPr>
          <w:ilvl w:val="0"/>
          <w:numId w:val="1"/>
        </w:numPr>
        <w:tabs>
          <w:tab w:val="left" w:pos="273"/>
        </w:tabs>
        <w:autoSpaceDE w:val="0"/>
        <w:autoSpaceDN w:val="0"/>
        <w:adjustRightInd w:val="0"/>
        <w:spacing w:after="0" w:line="240" w:lineRule="auto"/>
        <w:ind w:left="272" w:hanging="134"/>
        <w:jc w:val="both"/>
        <w:rPr>
          <w:rFonts w:ascii="Arial" w:hAnsi="Arial" w:cs="Arial"/>
          <w:b/>
          <w:bCs/>
          <w:sz w:val="10"/>
          <w:szCs w:val="10"/>
          <w:lang w:val="sl"/>
        </w:rPr>
      </w:pPr>
      <w:r w:rsidRPr="008A21C5">
        <w:rPr>
          <w:rFonts w:ascii="Arial" w:hAnsi="Arial" w:cs="Arial"/>
          <w:b/>
          <w:bCs/>
          <w:sz w:val="10"/>
          <w:szCs w:val="10"/>
          <w:lang w:val="sl"/>
        </w:rPr>
        <w:t>Neveljaven rezultat:</w:t>
      </w:r>
    </w:p>
    <w:p w:rsidR="00554E35" w:rsidRPr="008A21C5" w:rsidRDefault="00554E35">
      <w:pPr>
        <w:widowControl w:val="0"/>
        <w:autoSpaceDE w:val="0"/>
        <w:autoSpaceDN w:val="0"/>
        <w:adjustRightInd w:val="0"/>
        <w:spacing w:after="0" w:line="240" w:lineRule="auto"/>
        <w:ind w:left="139" w:right="66"/>
        <w:jc w:val="both"/>
        <w:rPr>
          <w:rFonts w:ascii="Arial" w:hAnsi="Arial" w:cs="Arial"/>
          <w:sz w:val="10"/>
          <w:szCs w:val="10"/>
          <w:lang w:val="sl"/>
        </w:rPr>
      </w:pPr>
      <w:r w:rsidRPr="008A21C5">
        <w:rPr>
          <w:rFonts w:ascii="Arial" w:hAnsi="Arial" w:cs="Arial"/>
          <w:sz w:val="10"/>
          <w:szCs w:val="10"/>
          <w:lang w:val="sl"/>
        </w:rPr>
        <w:t>C-linija za kontrolo kakovosti se ne pojavi, zaradi česar je test neveljaven, ne glede na to, ali se detekcijska linija za IgM ali IgG pojavi ali ne. Vzemite nov vzorec in izvedite nov test z novim testnim pripomočkom.</w:t>
      </w:r>
    </w:p>
    <w:p w:rsidR="00554E35" w:rsidRPr="008A21C5" w:rsidRDefault="00554E35">
      <w:pPr>
        <w:widowControl w:val="0"/>
        <w:autoSpaceDE w:val="0"/>
        <w:autoSpaceDN w:val="0"/>
        <w:adjustRightInd w:val="0"/>
        <w:spacing w:before="3" w:after="0" w:line="240" w:lineRule="auto"/>
        <w:rPr>
          <w:rFonts w:ascii="Arial" w:hAnsi="Arial" w:cs="Arial"/>
          <w:sz w:val="5"/>
          <w:szCs w:val="5"/>
          <w:lang w:val="sl"/>
        </w:rPr>
      </w:pPr>
    </w:p>
    <w:p w:rsidR="00554E35" w:rsidRPr="008A21C5" w:rsidRDefault="002F7261">
      <w:pPr>
        <w:widowControl w:val="0"/>
        <w:autoSpaceDE w:val="0"/>
        <w:autoSpaceDN w:val="0"/>
        <w:adjustRightInd w:val="0"/>
        <w:spacing w:after="0" w:line="240" w:lineRule="auto"/>
        <w:ind w:left="170"/>
        <w:rPr>
          <w:rFonts w:ascii="Arial" w:hAnsi="Arial" w:cs="Arial"/>
          <w:sz w:val="18"/>
          <w:szCs w:val="18"/>
          <w:lang w:val="sl"/>
        </w:rPr>
      </w:pPr>
      <w:r w:rsidRPr="002F7261">
        <w:rPr>
          <w:rFonts w:ascii="Calibri" w:hAnsi="Calibri" w:cs="Calibri"/>
          <w:noProof/>
          <w:sz w:val="20"/>
          <w:szCs w:val="20"/>
        </w:rPr>
        <w:drawing>
          <wp:inline distT="0" distB="0" distL="0" distR="0">
            <wp:extent cx="3714750" cy="6286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628650"/>
                    </a:xfrm>
                    <a:prstGeom prst="rect">
                      <a:avLst/>
                    </a:prstGeom>
                    <a:noFill/>
                    <a:ln>
                      <a:noFill/>
                    </a:ln>
                  </pic:spPr>
                </pic:pic>
              </a:graphicData>
            </a:graphic>
          </wp:inline>
        </w:drawing>
      </w:r>
    </w:p>
    <w:p w:rsidR="00554E35" w:rsidRPr="008A21C5" w:rsidRDefault="00554E35" w:rsidP="008A21C5">
      <w:pPr>
        <w:widowControl w:val="0"/>
        <w:tabs>
          <w:tab w:val="left" w:pos="1891"/>
          <w:tab w:val="left" w:pos="7371"/>
        </w:tabs>
        <w:autoSpaceDE w:val="0"/>
        <w:autoSpaceDN w:val="0"/>
        <w:adjustRightInd w:val="0"/>
        <w:spacing w:before="99" w:after="0" w:line="240" w:lineRule="auto"/>
        <w:ind w:left="109"/>
        <w:rPr>
          <w:rFonts w:ascii="Arial" w:hAnsi="Arial" w:cs="Arial"/>
          <w:b/>
          <w:bCs/>
          <w:sz w:val="12"/>
          <w:szCs w:val="12"/>
          <w:lang w:val="sl"/>
        </w:rPr>
      </w:pPr>
      <w:r w:rsidRPr="008A21C5">
        <w:rPr>
          <w:rFonts w:ascii="Arial" w:hAnsi="Arial" w:cs="Arial"/>
          <w:b/>
          <w:bCs/>
          <w:color w:val="FFFFFF"/>
          <w:sz w:val="12"/>
          <w:szCs w:val="12"/>
          <w:highlight w:val="black"/>
          <w:lang w:val="sl"/>
        </w:rPr>
        <w:lastRenderedPageBreak/>
        <w:t xml:space="preserve"> KONTROLA KAKOVOSTI</w:t>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p>
    <w:p w:rsidR="00554E35" w:rsidRPr="008A21C5" w:rsidRDefault="00554E35">
      <w:pPr>
        <w:widowControl w:val="0"/>
        <w:autoSpaceDE w:val="0"/>
        <w:autoSpaceDN w:val="0"/>
        <w:adjustRightInd w:val="0"/>
        <w:spacing w:before="93" w:after="0" w:line="240" w:lineRule="auto"/>
        <w:ind w:left="139" w:right="67"/>
        <w:jc w:val="both"/>
        <w:rPr>
          <w:rFonts w:ascii="Arial" w:hAnsi="Arial" w:cs="Arial"/>
          <w:sz w:val="10"/>
          <w:szCs w:val="10"/>
          <w:lang w:val="sl"/>
        </w:rPr>
      </w:pPr>
      <w:r w:rsidRPr="008A21C5">
        <w:rPr>
          <w:rFonts w:ascii="Arial" w:hAnsi="Arial" w:cs="Arial"/>
          <w:sz w:val="10"/>
          <w:szCs w:val="10"/>
          <w:lang w:val="sl"/>
        </w:rPr>
        <w:t>Notranje postopkovne kontrole so vključene v test. Barvna črta, ki se pojavi na kontrolnem območju (C) je notranja postopkovna kontrola. Ta potrjuje zadostno količino vzorca in pravilno tehniko postopka. Temu kompletu niso priloženi kontrolni standardi, vendar je priporočljivo, da se pozitivne in negativne kontrole testirajo kot dobra laboratorijska praksa za potrjevanje postopka testiranja in za preverjanje ustreznega delovanja testa.</w:t>
      </w:r>
    </w:p>
    <w:p w:rsidR="00554E35" w:rsidRPr="008A21C5" w:rsidRDefault="00554E35">
      <w:pPr>
        <w:widowControl w:val="0"/>
        <w:tabs>
          <w:tab w:val="left" w:pos="2015"/>
          <w:tab w:val="left" w:pos="5018"/>
        </w:tabs>
        <w:autoSpaceDE w:val="0"/>
        <w:autoSpaceDN w:val="0"/>
        <w:adjustRightInd w:val="0"/>
        <w:spacing w:before="93" w:after="0" w:line="240" w:lineRule="auto"/>
        <w:ind w:left="109"/>
        <w:rPr>
          <w:rFonts w:ascii="Arial" w:hAnsi="Arial" w:cs="Arial"/>
          <w:b/>
          <w:bCs/>
          <w:sz w:val="12"/>
          <w:szCs w:val="12"/>
          <w:lang w:val="sl"/>
        </w:rPr>
      </w:pPr>
      <w:r w:rsidRPr="008A21C5">
        <w:rPr>
          <w:rFonts w:ascii="Arial" w:hAnsi="Arial" w:cs="Arial"/>
          <w:b/>
          <w:bCs/>
          <w:color w:val="FFFFFF"/>
          <w:sz w:val="12"/>
          <w:szCs w:val="12"/>
          <w:highlight w:val="black"/>
          <w:lang w:val="sl"/>
        </w:rPr>
        <w:t xml:space="preserve"> UČINKOVITOST</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t xml:space="preserve">      </w:t>
      </w:r>
      <w:r w:rsidRPr="008A21C5">
        <w:rPr>
          <w:rFonts w:ascii="Arial" w:hAnsi="Arial" w:cs="Arial"/>
          <w:b/>
          <w:bCs/>
          <w:color w:val="FFFFFF"/>
          <w:sz w:val="12"/>
          <w:szCs w:val="12"/>
          <w:highlight w:val="black"/>
          <w:lang w:val="sl"/>
        </w:rPr>
        <w:tab/>
      </w:r>
      <w:r w:rsidR="008A21C5">
        <w:rPr>
          <w:rFonts w:ascii="Arial" w:hAnsi="Arial" w:cs="Arial"/>
          <w:b/>
          <w:bCs/>
          <w:color w:val="FFFFFF"/>
          <w:sz w:val="12"/>
          <w:szCs w:val="12"/>
          <w:lang w:val="sl"/>
        </w:rPr>
        <w:tab/>
      </w:r>
      <w:r w:rsidR="008A21C5">
        <w:rPr>
          <w:rFonts w:ascii="Arial" w:hAnsi="Arial" w:cs="Arial"/>
          <w:b/>
          <w:bCs/>
          <w:color w:val="FFFFFF"/>
          <w:sz w:val="12"/>
          <w:szCs w:val="12"/>
          <w:lang w:val="sl"/>
        </w:rPr>
        <w:tab/>
      </w:r>
      <w:r w:rsidR="008A21C5">
        <w:rPr>
          <w:rFonts w:ascii="Arial" w:hAnsi="Arial" w:cs="Arial"/>
          <w:b/>
          <w:bCs/>
          <w:color w:val="FFFFFF"/>
          <w:sz w:val="12"/>
          <w:szCs w:val="12"/>
          <w:lang w:val="sl"/>
        </w:rPr>
        <w:tab/>
      </w:r>
      <w:r w:rsidR="008A21C5">
        <w:rPr>
          <w:rFonts w:ascii="Arial" w:hAnsi="Arial" w:cs="Arial"/>
          <w:b/>
          <w:bCs/>
          <w:color w:val="FFFFFF"/>
          <w:sz w:val="12"/>
          <w:szCs w:val="12"/>
          <w:lang w:val="sl"/>
        </w:rPr>
        <w:tab/>
      </w:r>
      <w:r w:rsidR="008A21C5">
        <w:rPr>
          <w:rFonts w:ascii="Arial" w:hAnsi="Arial" w:cs="Arial"/>
          <w:b/>
          <w:bCs/>
          <w:color w:val="FFFFFF"/>
          <w:sz w:val="12"/>
          <w:szCs w:val="12"/>
          <w:lang w:val="sl"/>
        </w:rPr>
        <w:tab/>
      </w:r>
      <w:r w:rsidR="008A21C5">
        <w:rPr>
          <w:rFonts w:ascii="Arial" w:hAnsi="Arial" w:cs="Arial"/>
          <w:b/>
          <w:bCs/>
          <w:color w:val="FFFFFF"/>
          <w:sz w:val="12"/>
          <w:szCs w:val="12"/>
          <w:lang w:val="sl"/>
        </w:rPr>
        <w:tab/>
      </w:r>
    </w:p>
    <w:p w:rsidR="00554E35" w:rsidRPr="008A21C5" w:rsidRDefault="00554E35">
      <w:pPr>
        <w:widowControl w:val="0"/>
        <w:autoSpaceDE w:val="0"/>
        <w:autoSpaceDN w:val="0"/>
        <w:adjustRightInd w:val="0"/>
        <w:spacing w:before="94" w:after="0" w:line="240" w:lineRule="auto"/>
        <w:ind w:left="139" w:right="67"/>
        <w:jc w:val="both"/>
        <w:rPr>
          <w:rFonts w:ascii="Arial" w:hAnsi="Arial" w:cs="Arial"/>
          <w:sz w:val="10"/>
          <w:szCs w:val="10"/>
          <w:lang w:val="sl"/>
        </w:rPr>
      </w:pPr>
      <w:r w:rsidRPr="008A21C5">
        <w:rPr>
          <w:rFonts w:ascii="Arial" w:hAnsi="Arial" w:cs="Arial"/>
          <w:sz w:val="10"/>
          <w:szCs w:val="10"/>
          <w:lang w:val="sl"/>
        </w:rPr>
        <w:t>Učinkovitost hitrega testa za protitelesa IgM/IgG za SARS-CoV-2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je bila ocenjena z 200 negativnimi in 150 pozitivnimi vzorci, kot je prikazano v nadaljevanju:</w:t>
      </w:r>
    </w:p>
    <w:p w:rsidR="00554E35" w:rsidRPr="008A21C5" w:rsidRDefault="00554E35">
      <w:pPr>
        <w:widowControl w:val="0"/>
        <w:autoSpaceDE w:val="0"/>
        <w:autoSpaceDN w:val="0"/>
        <w:adjustRightInd w:val="0"/>
        <w:spacing w:before="6" w:after="0" w:line="240" w:lineRule="auto"/>
        <w:rPr>
          <w:rFonts w:ascii="Arial" w:hAnsi="Arial" w:cs="Arial"/>
          <w:sz w:val="3"/>
          <w:szCs w:val="3"/>
          <w:lang w:val="sl"/>
        </w:rPr>
      </w:pPr>
    </w:p>
    <w:tbl>
      <w:tblPr>
        <w:tblW w:w="0" w:type="auto"/>
        <w:tblInd w:w="144" w:type="dxa"/>
        <w:tblLayout w:type="fixed"/>
        <w:tblCellMar>
          <w:left w:w="0" w:type="dxa"/>
          <w:right w:w="0" w:type="dxa"/>
        </w:tblCellMar>
        <w:tblLook w:val="0000" w:firstRow="0" w:lastRow="0" w:firstColumn="0" w:lastColumn="0" w:noHBand="0" w:noVBand="0"/>
      </w:tblPr>
      <w:tblGrid>
        <w:gridCol w:w="1214"/>
        <w:gridCol w:w="1214"/>
        <w:gridCol w:w="1215"/>
        <w:gridCol w:w="1214"/>
      </w:tblGrid>
      <w:tr w:rsidR="00554E35" w:rsidRPr="008A21C5">
        <w:tblPrEx>
          <w:tblCellMar>
            <w:top w:w="0" w:type="dxa"/>
            <w:left w:w="0" w:type="dxa"/>
            <w:bottom w:w="0" w:type="dxa"/>
            <w:right w:w="0" w:type="dxa"/>
          </w:tblCellMar>
        </w:tblPrEx>
        <w:trPr>
          <w:trHeight w:val="170"/>
        </w:trPr>
        <w:tc>
          <w:tcPr>
            <w:tcW w:w="485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36" w:lineRule="atLeast"/>
              <w:ind w:left="1275"/>
              <w:rPr>
                <w:rFonts w:ascii="Calibri" w:hAnsi="Calibri" w:cs="Calibri"/>
                <w:sz w:val="20"/>
                <w:szCs w:val="20"/>
                <w:lang w:val="sl"/>
              </w:rPr>
            </w:pPr>
            <w:r w:rsidRPr="008A21C5">
              <w:rPr>
                <w:rFonts w:ascii="Arial" w:hAnsi="Arial" w:cs="Arial"/>
                <w:b/>
                <w:bCs/>
                <w:sz w:val="10"/>
                <w:szCs w:val="10"/>
                <w:lang w:val="sl"/>
              </w:rPr>
              <w:t>Klinična učinkovitost negativnega vzorca</w:t>
            </w:r>
          </w:p>
        </w:tc>
      </w:tr>
      <w:tr w:rsidR="00554E35" w:rsidRPr="008A21C5">
        <w:tblPrEx>
          <w:tblCellMar>
            <w:top w:w="0" w:type="dxa"/>
            <w:left w:w="0" w:type="dxa"/>
            <w:bottom w:w="0" w:type="dxa"/>
            <w:right w:w="0" w:type="dxa"/>
          </w:tblCellMar>
        </w:tblPrEx>
        <w:trPr>
          <w:trHeight w:val="414"/>
        </w:trPr>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67" w:after="0" w:line="240" w:lineRule="auto"/>
              <w:ind w:left="232" w:right="155" w:hanging="51"/>
              <w:rPr>
                <w:rFonts w:ascii="Calibri" w:hAnsi="Calibri" w:cs="Calibri"/>
                <w:sz w:val="20"/>
                <w:szCs w:val="20"/>
                <w:lang w:val="sl"/>
              </w:rPr>
            </w:pPr>
            <w:r w:rsidRPr="008A21C5">
              <w:rPr>
                <w:rFonts w:ascii="Arial" w:hAnsi="Arial" w:cs="Arial"/>
                <w:sz w:val="10"/>
                <w:szCs w:val="10"/>
                <w:lang w:val="sl"/>
              </w:rPr>
              <w:t>Negativni primeri (s PCR in CT)</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 w:after="0" w:line="138" w:lineRule="atLeast"/>
              <w:ind w:left="30" w:right="29"/>
              <w:jc w:val="center"/>
              <w:rPr>
                <w:rFonts w:ascii="Calibri" w:hAnsi="Calibri" w:cs="Calibri"/>
                <w:sz w:val="20"/>
                <w:szCs w:val="20"/>
                <w:lang w:val="sl"/>
              </w:rPr>
            </w:pPr>
            <w:r w:rsidRPr="008A21C5">
              <w:rPr>
                <w:rFonts w:ascii="Arial" w:hAnsi="Arial" w:cs="Arial"/>
                <w:sz w:val="10"/>
                <w:szCs w:val="10"/>
                <w:lang w:val="sl"/>
              </w:rPr>
              <w:t>Negativna stopnja koincidence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SARS-CoV-2 IgM)</w:t>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 w:after="0" w:line="138" w:lineRule="atLeast"/>
              <w:ind w:left="31" w:right="29"/>
              <w:jc w:val="center"/>
              <w:rPr>
                <w:rFonts w:ascii="Calibri" w:hAnsi="Calibri" w:cs="Calibri"/>
                <w:sz w:val="20"/>
                <w:szCs w:val="20"/>
                <w:lang w:val="sl"/>
              </w:rPr>
            </w:pPr>
            <w:r w:rsidRPr="008A21C5">
              <w:rPr>
                <w:rFonts w:ascii="Arial" w:hAnsi="Arial" w:cs="Arial"/>
                <w:sz w:val="10"/>
                <w:szCs w:val="10"/>
                <w:lang w:val="sl"/>
              </w:rPr>
              <w:t>Negativna stopnja koincidence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SARS-CoV-2 IgG)</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rsidP="00523534">
            <w:pPr>
              <w:widowControl w:val="0"/>
              <w:autoSpaceDE w:val="0"/>
              <w:autoSpaceDN w:val="0"/>
              <w:adjustRightInd w:val="0"/>
              <w:spacing w:before="67" w:after="0" w:line="240" w:lineRule="auto"/>
              <w:ind w:left="49" w:right="13" w:hanging="19"/>
              <w:jc w:val="center"/>
              <w:rPr>
                <w:rFonts w:ascii="Calibri" w:hAnsi="Calibri" w:cs="Calibri"/>
                <w:sz w:val="20"/>
                <w:szCs w:val="20"/>
                <w:lang w:val="sl"/>
              </w:rPr>
            </w:pPr>
            <w:r w:rsidRPr="008A21C5">
              <w:rPr>
                <w:rFonts w:ascii="Arial" w:hAnsi="Arial" w:cs="Arial"/>
                <w:sz w:val="10"/>
                <w:szCs w:val="10"/>
                <w:lang w:val="sl"/>
              </w:rPr>
              <w:t>Negativna stopnja koincidence (skupno)</w:t>
            </w:r>
          </w:p>
        </w:tc>
      </w:tr>
      <w:tr w:rsidR="00554E35" w:rsidRPr="008A21C5">
        <w:tblPrEx>
          <w:tblCellMar>
            <w:top w:w="0" w:type="dxa"/>
            <w:left w:w="0" w:type="dxa"/>
            <w:bottom w:w="0" w:type="dxa"/>
            <w:right w:w="0" w:type="dxa"/>
          </w:tblCellMar>
        </w:tblPrEx>
        <w:trPr>
          <w:trHeight w:val="170"/>
        </w:trPr>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506"/>
              <w:rPr>
                <w:rFonts w:ascii="Calibri" w:hAnsi="Calibri" w:cs="Calibri"/>
                <w:sz w:val="20"/>
                <w:szCs w:val="20"/>
                <w:lang w:val="sl"/>
              </w:rPr>
            </w:pPr>
            <w:r w:rsidRPr="008A21C5">
              <w:rPr>
                <w:rFonts w:ascii="Arial" w:hAnsi="Arial" w:cs="Arial"/>
                <w:sz w:val="10"/>
                <w:szCs w:val="10"/>
                <w:lang w:val="sl"/>
              </w:rPr>
              <w:t>200</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30" w:right="20"/>
              <w:jc w:val="center"/>
              <w:rPr>
                <w:rFonts w:ascii="Calibri" w:hAnsi="Calibri" w:cs="Calibri"/>
                <w:sz w:val="20"/>
                <w:szCs w:val="20"/>
                <w:lang w:val="sl"/>
              </w:rPr>
            </w:pPr>
            <w:r w:rsidRPr="008A21C5">
              <w:rPr>
                <w:rFonts w:ascii="Arial" w:hAnsi="Arial" w:cs="Arial"/>
                <w:sz w:val="10"/>
                <w:szCs w:val="10"/>
                <w:lang w:val="sl"/>
              </w:rPr>
              <w:t>200 (100 %)</w:t>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31" w:right="21"/>
              <w:jc w:val="center"/>
              <w:rPr>
                <w:rFonts w:ascii="Calibri" w:hAnsi="Calibri" w:cs="Calibri"/>
                <w:sz w:val="20"/>
                <w:szCs w:val="20"/>
                <w:lang w:val="sl"/>
              </w:rPr>
            </w:pPr>
            <w:r w:rsidRPr="008A21C5">
              <w:rPr>
                <w:rFonts w:ascii="Arial" w:hAnsi="Arial" w:cs="Arial"/>
                <w:sz w:val="10"/>
                <w:szCs w:val="10"/>
                <w:lang w:val="sl"/>
              </w:rPr>
              <w:t>200 (100 %)</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30" w:right="18"/>
              <w:jc w:val="center"/>
              <w:rPr>
                <w:rFonts w:ascii="Calibri" w:hAnsi="Calibri" w:cs="Calibri"/>
                <w:sz w:val="20"/>
                <w:szCs w:val="20"/>
                <w:lang w:val="sl"/>
              </w:rPr>
            </w:pPr>
            <w:r w:rsidRPr="008A21C5">
              <w:rPr>
                <w:rFonts w:ascii="Arial" w:hAnsi="Arial" w:cs="Arial"/>
                <w:sz w:val="10"/>
                <w:szCs w:val="10"/>
                <w:lang w:val="sl"/>
              </w:rPr>
              <w:t>200 (100 %)</w:t>
            </w:r>
          </w:p>
        </w:tc>
      </w:tr>
      <w:tr w:rsidR="00554E35" w:rsidRPr="008A21C5">
        <w:tblPrEx>
          <w:tblCellMar>
            <w:top w:w="0" w:type="dxa"/>
            <w:left w:w="0" w:type="dxa"/>
            <w:bottom w:w="0" w:type="dxa"/>
            <w:right w:w="0" w:type="dxa"/>
          </w:tblCellMar>
        </w:tblPrEx>
        <w:trPr>
          <w:trHeight w:val="170"/>
        </w:trPr>
        <w:tc>
          <w:tcPr>
            <w:tcW w:w="485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334"/>
              <w:rPr>
                <w:rFonts w:ascii="Calibri" w:hAnsi="Calibri" w:cs="Calibri"/>
                <w:sz w:val="20"/>
                <w:szCs w:val="20"/>
                <w:lang w:val="sl"/>
              </w:rPr>
            </w:pPr>
            <w:r w:rsidRPr="008A21C5">
              <w:rPr>
                <w:rFonts w:ascii="Arial" w:hAnsi="Arial" w:cs="Arial"/>
                <w:b/>
                <w:bCs/>
                <w:sz w:val="10"/>
                <w:szCs w:val="10"/>
                <w:lang w:val="sl"/>
              </w:rPr>
              <w:t>Klinična učinkovitost pozitivnega vzorca (pojav simptomov: po 4–10 dneh)</w:t>
            </w:r>
          </w:p>
        </w:tc>
      </w:tr>
      <w:tr w:rsidR="00554E35" w:rsidRPr="008A21C5">
        <w:tblPrEx>
          <w:tblCellMar>
            <w:top w:w="0" w:type="dxa"/>
            <w:left w:w="0" w:type="dxa"/>
            <w:bottom w:w="0" w:type="dxa"/>
            <w:right w:w="0" w:type="dxa"/>
          </w:tblCellMar>
        </w:tblPrEx>
        <w:trPr>
          <w:trHeight w:val="413"/>
        </w:trPr>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66" w:after="0" w:line="240" w:lineRule="auto"/>
              <w:ind w:left="232" w:right="182" w:hanging="24"/>
              <w:rPr>
                <w:rFonts w:ascii="Calibri" w:hAnsi="Calibri" w:cs="Calibri"/>
                <w:sz w:val="20"/>
                <w:szCs w:val="20"/>
                <w:lang w:val="sl"/>
              </w:rPr>
            </w:pPr>
            <w:r w:rsidRPr="008A21C5">
              <w:rPr>
                <w:rFonts w:ascii="Arial" w:hAnsi="Arial" w:cs="Arial"/>
                <w:sz w:val="10"/>
                <w:szCs w:val="10"/>
                <w:lang w:val="sl"/>
              </w:rPr>
              <w:t>Pozitivni primeri (s PCR in CT)</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after="0" w:line="138" w:lineRule="atLeast"/>
              <w:ind w:left="56" w:right="56"/>
              <w:jc w:val="center"/>
              <w:rPr>
                <w:rFonts w:ascii="Calibri" w:hAnsi="Calibri" w:cs="Calibri"/>
                <w:sz w:val="20"/>
                <w:szCs w:val="20"/>
                <w:lang w:val="sl"/>
              </w:rPr>
            </w:pPr>
            <w:r w:rsidRPr="008A21C5">
              <w:rPr>
                <w:rFonts w:ascii="Arial" w:hAnsi="Arial" w:cs="Arial"/>
                <w:sz w:val="10"/>
                <w:szCs w:val="10"/>
                <w:lang w:val="sl"/>
              </w:rPr>
              <w:t>Pozitivna stopnja koincidence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SARS-CoV-2 IgM)</w:t>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after="0" w:line="138" w:lineRule="atLeast"/>
              <w:ind w:left="58" w:right="55"/>
              <w:jc w:val="center"/>
              <w:rPr>
                <w:rFonts w:ascii="Calibri" w:hAnsi="Calibri" w:cs="Calibri"/>
                <w:sz w:val="20"/>
                <w:szCs w:val="20"/>
                <w:lang w:val="sl"/>
              </w:rPr>
            </w:pPr>
            <w:r w:rsidRPr="008A21C5">
              <w:rPr>
                <w:rFonts w:ascii="Arial" w:hAnsi="Arial" w:cs="Arial"/>
                <w:sz w:val="10"/>
                <w:szCs w:val="10"/>
                <w:lang w:val="sl"/>
              </w:rPr>
              <w:t>Pozitivna stopnja koincidence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SARS-CoV-2 IgG)</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rsidP="00523534">
            <w:pPr>
              <w:widowControl w:val="0"/>
              <w:autoSpaceDE w:val="0"/>
              <w:autoSpaceDN w:val="0"/>
              <w:adjustRightInd w:val="0"/>
              <w:spacing w:before="66" w:after="0" w:line="240" w:lineRule="auto"/>
              <w:ind w:left="49" w:right="39"/>
              <w:jc w:val="center"/>
              <w:rPr>
                <w:rFonts w:ascii="Calibri" w:hAnsi="Calibri" w:cs="Calibri"/>
                <w:sz w:val="20"/>
                <w:szCs w:val="20"/>
                <w:lang w:val="sl"/>
              </w:rPr>
            </w:pPr>
            <w:r w:rsidRPr="008A21C5">
              <w:rPr>
                <w:rFonts w:ascii="Arial" w:hAnsi="Arial" w:cs="Arial"/>
                <w:sz w:val="10"/>
                <w:szCs w:val="10"/>
                <w:lang w:val="sl"/>
              </w:rPr>
              <w:t>Pozitivna stopnja koincidence (skupno)</w:t>
            </w:r>
          </w:p>
        </w:tc>
      </w:tr>
      <w:tr w:rsidR="00554E35" w:rsidRPr="008A21C5">
        <w:tblPrEx>
          <w:tblCellMar>
            <w:top w:w="0" w:type="dxa"/>
            <w:left w:w="0" w:type="dxa"/>
            <w:bottom w:w="0" w:type="dxa"/>
            <w:right w:w="0" w:type="dxa"/>
          </w:tblCellMar>
        </w:tblPrEx>
        <w:trPr>
          <w:trHeight w:val="170"/>
        </w:trPr>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539"/>
              <w:rPr>
                <w:rFonts w:ascii="Calibri" w:hAnsi="Calibri" w:cs="Calibri"/>
                <w:sz w:val="20"/>
                <w:szCs w:val="20"/>
                <w:lang w:val="sl"/>
              </w:rPr>
            </w:pPr>
            <w:r w:rsidRPr="008A21C5">
              <w:rPr>
                <w:rFonts w:ascii="Arial" w:hAnsi="Arial" w:cs="Arial"/>
                <w:sz w:val="10"/>
                <w:szCs w:val="10"/>
                <w:lang w:val="sl"/>
              </w:rPr>
              <w:t>80</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29" w:right="29"/>
              <w:jc w:val="center"/>
              <w:rPr>
                <w:rFonts w:ascii="Calibri" w:hAnsi="Calibri" w:cs="Calibri"/>
                <w:sz w:val="20"/>
                <w:szCs w:val="20"/>
                <w:lang w:val="sl"/>
              </w:rPr>
            </w:pPr>
            <w:r w:rsidRPr="008A21C5">
              <w:rPr>
                <w:rFonts w:ascii="Arial" w:hAnsi="Arial" w:cs="Arial"/>
                <w:sz w:val="10"/>
                <w:szCs w:val="10"/>
                <w:lang w:val="sl"/>
              </w:rPr>
              <w:t>65 (81,3 %)</w:t>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30" w:right="29"/>
              <w:jc w:val="center"/>
              <w:rPr>
                <w:rFonts w:ascii="Calibri" w:hAnsi="Calibri" w:cs="Calibri"/>
                <w:sz w:val="20"/>
                <w:szCs w:val="20"/>
                <w:lang w:val="sl"/>
              </w:rPr>
            </w:pPr>
            <w:r w:rsidRPr="008A21C5">
              <w:rPr>
                <w:rFonts w:ascii="Arial" w:hAnsi="Arial" w:cs="Arial"/>
                <w:sz w:val="10"/>
                <w:szCs w:val="10"/>
                <w:lang w:val="sl"/>
              </w:rPr>
              <w:t>30 (37,5 %)</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30" w:right="29"/>
              <w:jc w:val="center"/>
              <w:rPr>
                <w:rFonts w:ascii="Calibri" w:hAnsi="Calibri" w:cs="Calibri"/>
                <w:sz w:val="20"/>
                <w:szCs w:val="20"/>
                <w:lang w:val="sl"/>
              </w:rPr>
            </w:pPr>
            <w:r w:rsidRPr="008A21C5">
              <w:rPr>
                <w:rFonts w:ascii="Arial" w:hAnsi="Arial" w:cs="Arial"/>
                <w:sz w:val="10"/>
                <w:szCs w:val="10"/>
                <w:lang w:val="sl"/>
              </w:rPr>
              <w:t>65 (81,3 %)</w:t>
            </w:r>
          </w:p>
        </w:tc>
      </w:tr>
      <w:tr w:rsidR="00554E35" w:rsidRPr="008A21C5">
        <w:tblPrEx>
          <w:tblCellMar>
            <w:top w:w="0" w:type="dxa"/>
            <w:left w:w="0" w:type="dxa"/>
            <w:bottom w:w="0" w:type="dxa"/>
            <w:right w:w="0" w:type="dxa"/>
          </w:tblCellMar>
        </w:tblPrEx>
        <w:trPr>
          <w:trHeight w:val="170"/>
        </w:trPr>
        <w:tc>
          <w:tcPr>
            <w:tcW w:w="485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3" w:after="0" w:line="137" w:lineRule="atLeast"/>
              <w:ind w:left="300"/>
              <w:rPr>
                <w:rFonts w:ascii="Calibri" w:hAnsi="Calibri" w:cs="Calibri"/>
                <w:sz w:val="20"/>
                <w:szCs w:val="20"/>
                <w:lang w:val="sl"/>
              </w:rPr>
            </w:pPr>
            <w:r w:rsidRPr="008A21C5">
              <w:rPr>
                <w:rFonts w:ascii="Arial" w:hAnsi="Arial" w:cs="Arial"/>
                <w:b/>
                <w:bCs/>
                <w:sz w:val="10"/>
                <w:szCs w:val="10"/>
                <w:lang w:val="sl"/>
              </w:rPr>
              <w:t>Klinična učinkovitost pozitivnega vzorca (pojav simptomov: po 11–24 dneh)</w:t>
            </w:r>
          </w:p>
        </w:tc>
      </w:tr>
      <w:tr w:rsidR="00554E35" w:rsidRPr="008A21C5">
        <w:tblPrEx>
          <w:tblCellMar>
            <w:top w:w="0" w:type="dxa"/>
            <w:left w:w="0" w:type="dxa"/>
            <w:bottom w:w="0" w:type="dxa"/>
            <w:right w:w="0" w:type="dxa"/>
          </w:tblCellMar>
        </w:tblPrEx>
        <w:trPr>
          <w:trHeight w:val="413"/>
        </w:trPr>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67" w:after="0" w:line="240" w:lineRule="auto"/>
              <w:ind w:left="232" w:right="182" w:hanging="24"/>
              <w:rPr>
                <w:rFonts w:ascii="Calibri" w:hAnsi="Calibri" w:cs="Calibri"/>
                <w:sz w:val="20"/>
                <w:szCs w:val="20"/>
                <w:lang w:val="sl"/>
              </w:rPr>
            </w:pPr>
            <w:r w:rsidRPr="008A21C5">
              <w:rPr>
                <w:rFonts w:ascii="Arial" w:hAnsi="Arial" w:cs="Arial"/>
                <w:sz w:val="10"/>
                <w:szCs w:val="10"/>
                <w:lang w:val="sl"/>
              </w:rPr>
              <w:t>Pozitivni primeri (s PCR in CT)</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after="0" w:line="138" w:lineRule="atLeast"/>
              <w:ind w:left="56" w:right="56"/>
              <w:jc w:val="center"/>
              <w:rPr>
                <w:rFonts w:ascii="Calibri" w:hAnsi="Calibri" w:cs="Calibri"/>
                <w:sz w:val="20"/>
                <w:szCs w:val="20"/>
                <w:lang w:val="sl"/>
              </w:rPr>
            </w:pPr>
            <w:r w:rsidRPr="008A21C5">
              <w:rPr>
                <w:rFonts w:ascii="Arial" w:hAnsi="Arial" w:cs="Arial"/>
                <w:sz w:val="10"/>
                <w:szCs w:val="10"/>
                <w:lang w:val="sl"/>
              </w:rPr>
              <w:t>Pozitivna stopnja koincidence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SARS-CoV-2 IgM)</w:t>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after="0" w:line="138" w:lineRule="atLeast"/>
              <w:ind w:left="58" w:right="55"/>
              <w:jc w:val="center"/>
              <w:rPr>
                <w:rFonts w:ascii="Calibri" w:hAnsi="Calibri" w:cs="Calibri"/>
                <w:sz w:val="20"/>
                <w:szCs w:val="20"/>
                <w:lang w:val="sl"/>
              </w:rPr>
            </w:pPr>
            <w:r w:rsidRPr="008A21C5">
              <w:rPr>
                <w:rFonts w:ascii="Arial" w:hAnsi="Arial" w:cs="Arial"/>
                <w:sz w:val="10"/>
                <w:szCs w:val="10"/>
                <w:lang w:val="sl"/>
              </w:rPr>
              <w:t>Pozitivna stopnja koincidence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SARS-CoV-2 IgG)</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rsidP="00523534">
            <w:pPr>
              <w:widowControl w:val="0"/>
              <w:autoSpaceDE w:val="0"/>
              <w:autoSpaceDN w:val="0"/>
              <w:adjustRightInd w:val="0"/>
              <w:spacing w:before="67" w:after="0" w:line="240" w:lineRule="auto"/>
              <w:ind w:left="49" w:right="39" w:firstLine="8"/>
              <w:jc w:val="center"/>
              <w:rPr>
                <w:rFonts w:ascii="Calibri" w:hAnsi="Calibri" w:cs="Calibri"/>
                <w:sz w:val="20"/>
                <w:szCs w:val="20"/>
                <w:lang w:val="sl"/>
              </w:rPr>
            </w:pPr>
            <w:r w:rsidRPr="008A21C5">
              <w:rPr>
                <w:rFonts w:ascii="Arial" w:hAnsi="Arial" w:cs="Arial"/>
                <w:sz w:val="10"/>
                <w:szCs w:val="10"/>
                <w:lang w:val="sl"/>
              </w:rPr>
              <w:t>Pozitivna stopnja koincidence (skupno)</w:t>
            </w:r>
          </w:p>
        </w:tc>
      </w:tr>
      <w:tr w:rsidR="00554E35" w:rsidRPr="008A21C5">
        <w:tblPrEx>
          <w:tblCellMar>
            <w:top w:w="0" w:type="dxa"/>
            <w:left w:w="0" w:type="dxa"/>
            <w:bottom w:w="0" w:type="dxa"/>
            <w:right w:w="0" w:type="dxa"/>
          </w:tblCellMar>
        </w:tblPrEx>
        <w:trPr>
          <w:trHeight w:val="170"/>
        </w:trPr>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36" w:lineRule="atLeast"/>
              <w:ind w:left="539"/>
              <w:rPr>
                <w:rFonts w:ascii="Calibri" w:hAnsi="Calibri" w:cs="Calibri"/>
                <w:sz w:val="20"/>
                <w:szCs w:val="20"/>
                <w:lang w:val="sl"/>
              </w:rPr>
            </w:pPr>
            <w:r w:rsidRPr="008A21C5">
              <w:rPr>
                <w:rFonts w:ascii="Arial" w:hAnsi="Arial" w:cs="Arial"/>
                <w:sz w:val="10"/>
                <w:szCs w:val="10"/>
                <w:lang w:val="sl"/>
              </w:rPr>
              <w:t>70</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36" w:lineRule="atLeast"/>
              <w:ind w:left="29" w:right="29"/>
              <w:jc w:val="center"/>
              <w:rPr>
                <w:rFonts w:ascii="Calibri" w:hAnsi="Calibri" w:cs="Calibri"/>
                <w:sz w:val="20"/>
                <w:szCs w:val="20"/>
                <w:lang w:val="sl"/>
              </w:rPr>
            </w:pPr>
            <w:r w:rsidRPr="008A21C5">
              <w:rPr>
                <w:rFonts w:ascii="Arial" w:hAnsi="Arial" w:cs="Arial"/>
                <w:sz w:val="10"/>
                <w:szCs w:val="10"/>
                <w:lang w:val="sl"/>
              </w:rPr>
              <w:t>68 (97,1 %)</w:t>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36" w:lineRule="atLeast"/>
              <w:ind w:left="30" w:right="29"/>
              <w:jc w:val="center"/>
              <w:rPr>
                <w:rFonts w:ascii="Calibri" w:hAnsi="Calibri" w:cs="Calibri"/>
                <w:sz w:val="20"/>
                <w:szCs w:val="20"/>
                <w:lang w:val="sl"/>
              </w:rPr>
            </w:pPr>
            <w:r w:rsidRPr="008A21C5">
              <w:rPr>
                <w:rFonts w:ascii="Arial" w:hAnsi="Arial" w:cs="Arial"/>
                <w:sz w:val="10"/>
                <w:szCs w:val="10"/>
                <w:lang w:val="sl"/>
              </w:rPr>
              <w:t>67 (95,7 %)</w:t>
            </w:r>
          </w:p>
        </w:tc>
        <w:tc>
          <w:tcPr>
            <w:tcW w:w="121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36" w:lineRule="atLeast"/>
              <w:ind w:left="30" w:right="29"/>
              <w:jc w:val="center"/>
              <w:rPr>
                <w:rFonts w:ascii="Calibri" w:hAnsi="Calibri" w:cs="Calibri"/>
                <w:sz w:val="20"/>
                <w:szCs w:val="20"/>
                <w:lang w:val="sl"/>
              </w:rPr>
            </w:pPr>
            <w:r w:rsidRPr="008A21C5">
              <w:rPr>
                <w:rFonts w:ascii="Arial" w:hAnsi="Arial" w:cs="Arial"/>
                <w:sz w:val="10"/>
                <w:szCs w:val="10"/>
                <w:lang w:val="sl"/>
              </w:rPr>
              <w:t>68 (97,1 %)</w:t>
            </w:r>
          </w:p>
        </w:tc>
      </w:tr>
    </w:tbl>
    <w:p w:rsidR="008A21C5" w:rsidRPr="008A21C5" w:rsidRDefault="008A21C5">
      <w:pPr>
        <w:widowControl w:val="0"/>
        <w:autoSpaceDE w:val="0"/>
        <w:autoSpaceDN w:val="0"/>
        <w:adjustRightInd w:val="0"/>
        <w:spacing w:after="0" w:line="240" w:lineRule="auto"/>
        <w:ind w:left="139"/>
        <w:rPr>
          <w:rFonts w:ascii="Arial" w:hAnsi="Arial" w:cs="Arial"/>
          <w:sz w:val="10"/>
          <w:szCs w:val="10"/>
          <w:lang w:val="sl"/>
        </w:rPr>
      </w:pPr>
    </w:p>
    <w:p w:rsidR="00554E35" w:rsidRPr="008A21C5" w:rsidRDefault="00554E35">
      <w:pPr>
        <w:widowControl w:val="0"/>
        <w:autoSpaceDE w:val="0"/>
        <w:autoSpaceDN w:val="0"/>
        <w:adjustRightInd w:val="0"/>
        <w:spacing w:after="0" w:line="240" w:lineRule="auto"/>
        <w:ind w:left="139"/>
        <w:rPr>
          <w:rFonts w:ascii="Arial" w:hAnsi="Arial" w:cs="Arial"/>
          <w:sz w:val="10"/>
          <w:szCs w:val="10"/>
          <w:lang w:val="sl"/>
        </w:rPr>
      </w:pPr>
      <w:r w:rsidRPr="008A21C5">
        <w:rPr>
          <w:rFonts w:ascii="Arial" w:hAnsi="Arial" w:cs="Arial"/>
          <w:sz w:val="10"/>
          <w:szCs w:val="10"/>
          <w:lang w:val="sl"/>
        </w:rPr>
        <w:t>Relativna specifičnost: 100 %</w:t>
      </w:r>
    </w:p>
    <w:p w:rsidR="00523534" w:rsidRDefault="00554E35" w:rsidP="00523534">
      <w:pPr>
        <w:widowControl w:val="0"/>
        <w:autoSpaceDE w:val="0"/>
        <w:autoSpaceDN w:val="0"/>
        <w:adjustRightInd w:val="0"/>
        <w:spacing w:after="0" w:line="240" w:lineRule="auto"/>
        <w:ind w:left="139" w:right="229"/>
        <w:rPr>
          <w:rFonts w:ascii="Arial" w:hAnsi="Arial" w:cs="Arial"/>
          <w:sz w:val="10"/>
          <w:szCs w:val="10"/>
          <w:lang w:val="sl"/>
        </w:rPr>
      </w:pPr>
      <w:r w:rsidRPr="008A21C5">
        <w:rPr>
          <w:rFonts w:ascii="Arial" w:hAnsi="Arial" w:cs="Arial"/>
          <w:sz w:val="10"/>
          <w:szCs w:val="10"/>
          <w:lang w:val="sl"/>
        </w:rPr>
        <w:t xml:space="preserve">Relativna občutljivost (pojav simptomov: po 4–10 dneh, IgM in IgG): 81,3-% </w:t>
      </w:r>
    </w:p>
    <w:p w:rsidR="00523534" w:rsidRDefault="00523534" w:rsidP="00523534">
      <w:pPr>
        <w:widowControl w:val="0"/>
        <w:autoSpaceDE w:val="0"/>
        <w:autoSpaceDN w:val="0"/>
        <w:adjustRightInd w:val="0"/>
        <w:spacing w:after="0" w:line="240" w:lineRule="auto"/>
        <w:ind w:left="139" w:right="229"/>
        <w:rPr>
          <w:rFonts w:ascii="Arial" w:hAnsi="Arial" w:cs="Arial"/>
          <w:sz w:val="10"/>
          <w:szCs w:val="10"/>
          <w:lang w:val="sl"/>
        </w:rPr>
      </w:pPr>
      <w:r>
        <w:rPr>
          <w:rFonts w:ascii="Arial" w:hAnsi="Arial" w:cs="Arial"/>
          <w:sz w:val="10"/>
          <w:szCs w:val="10"/>
          <w:lang w:val="sl"/>
        </w:rPr>
        <w:t>R</w:t>
      </w:r>
      <w:r w:rsidR="00554E35" w:rsidRPr="008A21C5">
        <w:rPr>
          <w:rFonts w:ascii="Arial" w:hAnsi="Arial" w:cs="Arial"/>
          <w:sz w:val="10"/>
          <w:szCs w:val="10"/>
          <w:lang w:val="sl"/>
        </w:rPr>
        <w:t xml:space="preserve">elativna občutljivost (pojav simptomov: po 11–24 dneh, IgM in IgG): 97,1-% </w:t>
      </w:r>
    </w:p>
    <w:p w:rsidR="00554E35" w:rsidRPr="008A21C5" w:rsidRDefault="00523534" w:rsidP="00523534">
      <w:pPr>
        <w:widowControl w:val="0"/>
        <w:autoSpaceDE w:val="0"/>
        <w:autoSpaceDN w:val="0"/>
        <w:adjustRightInd w:val="0"/>
        <w:spacing w:after="0" w:line="240" w:lineRule="auto"/>
        <w:ind w:left="139" w:right="229"/>
        <w:rPr>
          <w:rFonts w:ascii="Arial" w:hAnsi="Arial" w:cs="Arial"/>
          <w:sz w:val="10"/>
          <w:szCs w:val="10"/>
          <w:lang w:val="sl"/>
        </w:rPr>
      </w:pPr>
      <w:r>
        <w:rPr>
          <w:rFonts w:ascii="Arial" w:hAnsi="Arial" w:cs="Arial"/>
          <w:sz w:val="10"/>
          <w:szCs w:val="10"/>
          <w:lang w:val="sl"/>
        </w:rPr>
        <w:t>N</w:t>
      </w:r>
      <w:r w:rsidR="00554E35" w:rsidRPr="008A21C5">
        <w:rPr>
          <w:rFonts w:ascii="Arial" w:hAnsi="Arial" w:cs="Arial"/>
          <w:sz w:val="10"/>
          <w:szCs w:val="10"/>
          <w:lang w:val="sl"/>
        </w:rPr>
        <w:t>atančnost (pojav simptomov: po 4–10 dneh, IgM in IgG): 94,6-%</w:t>
      </w:r>
    </w:p>
    <w:p w:rsidR="00523534" w:rsidRDefault="00554E35" w:rsidP="008A21C5">
      <w:pPr>
        <w:widowControl w:val="0"/>
        <w:autoSpaceDE w:val="0"/>
        <w:autoSpaceDN w:val="0"/>
        <w:adjustRightInd w:val="0"/>
        <w:spacing w:after="0" w:line="240" w:lineRule="auto"/>
        <w:ind w:left="139" w:right="1512"/>
        <w:rPr>
          <w:rFonts w:ascii="Arial" w:hAnsi="Arial" w:cs="Arial"/>
          <w:sz w:val="10"/>
          <w:szCs w:val="10"/>
          <w:lang w:val="sl"/>
        </w:rPr>
      </w:pPr>
      <w:r w:rsidRPr="008A21C5">
        <w:rPr>
          <w:rFonts w:ascii="Arial" w:hAnsi="Arial" w:cs="Arial"/>
          <w:sz w:val="10"/>
          <w:szCs w:val="10"/>
          <w:lang w:val="sl"/>
        </w:rPr>
        <w:t xml:space="preserve">Natančnost (pojav simptomov: po 11–24 dneh, IgM in IgG): 99,3-% </w:t>
      </w:r>
    </w:p>
    <w:p w:rsidR="008A21C5" w:rsidRDefault="00554E35" w:rsidP="008A21C5">
      <w:pPr>
        <w:widowControl w:val="0"/>
        <w:autoSpaceDE w:val="0"/>
        <w:autoSpaceDN w:val="0"/>
        <w:adjustRightInd w:val="0"/>
        <w:spacing w:after="0" w:line="240" w:lineRule="auto"/>
        <w:ind w:left="139" w:right="1512"/>
        <w:rPr>
          <w:rFonts w:ascii="Arial" w:hAnsi="Arial" w:cs="Arial"/>
          <w:sz w:val="10"/>
          <w:szCs w:val="10"/>
          <w:lang w:val="sl"/>
        </w:rPr>
      </w:pPr>
      <w:r w:rsidRPr="008A21C5">
        <w:rPr>
          <w:rFonts w:ascii="Arial" w:hAnsi="Arial" w:cs="Arial"/>
          <w:sz w:val="10"/>
          <w:szCs w:val="10"/>
          <w:lang w:val="sl"/>
        </w:rPr>
        <w:t>Skupna natančnost: 95,1-%</w:t>
      </w:r>
    </w:p>
    <w:p w:rsidR="008A21C5" w:rsidRDefault="008A21C5" w:rsidP="008A21C5">
      <w:pPr>
        <w:widowControl w:val="0"/>
        <w:autoSpaceDE w:val="0"/>
        <w:autoSpaceDN w:val="0"/>
        <w:adjustRightInd w:val="0"/>
        <w:spacing w:after="0" w:line="240" w:lineRule="auto"/>
        <w:ind w:left="139" w:right="1512"/>
        <w:rPr>
          <w:rFonts w:ascii="Arial" w:hAnsi="Arial" w:cs="Arial"/>
          <w:sz w:val="10"/>
          <w:szCs w:val="10"/>
          <w:lang w:val="sl"/>
        </w:rPr>
      </w:pPr>
    </w:p>
    <w:p w:rsidR="00554E35" w:rsidRPr="008A21C5" w:rsidRDefault="00554E35" w:rsidP="008A21C5">
      <w:pPr>
        <w:widowControl w:val="0"/>
        <w:autoSpaceDE w:val="0"/>
        <w:autoSpaceDN w:val="0"/>
        <w:adjustRightInd w:val="0"/>
        <w:spacing w:after="0" w:line="240" w:lineRule="auto"/>
        <w:ind w:left="139" w:right="88"/>
        <w:rPr>
          <w:rFonts w:ascii="Arial" w:hAnsi="Arial" w:cs="Arial"/>
          <w:b/>
          <w:bCs/>
          <w:sz w:val="12"/>
          <w:szCs w:val="12"/>
          <w:lang w:val="sl"/>
        </w:rPr>
      </w:pPr>
      <w:r w:rsidRPr="008A21C5">
        <w:rPr>
          <w:rFonts w:ascii="Arial" w:hAnsi="Arial" w:cs="Arial"/>
          <w:b/>
          <w:bCs/>
          <w:color w:val="FFFFFF"/>
          <w:sz w:val="12"/>
          <w:szCs w:val="12"/>
          <w:highlight w:val="black"/>
          <w:lang w:val="sl"/>
        </w:rPr>
        <w:t xml:space="preserve"> NAVZKRIŽNA REAKTIVNOST</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r w:rsidR="008A21C5">
        <w:rPr>
          <w:rFonts w:ascii="Arial" w:hAnsi="Arial" w:cs="Arial"/>
          <w:b/>
          <w:bCs/>
          <w:color w:val="FFFFFF"/>
          <w:sz w:val="12"/>
          <w:szCs w:val="12"/>
          <w:lang w:val="sl"/>
        </w:rPr>
        <w:tab/>
      </w:r>
    </w:p>
    <w:p w:rsidR="00554E35" w:rsidRPr="008A21C5" w:rsidRDefault="00554E35">
      <w:pPr>
        <w:widowControl w:val="0"/>
        <w:autoSpaceDE w:val="0"/>
        <w:autoSpaceDN w:val="0"/>
        <w:adjustRightInd w:val="0"/>
        <w:spacing w:before="93" w:after="0" w:line="240" w:lineRule="auto"/>
        <w:ind w:left="139" w:right="140"/>
        <w:jc w:val="both"/>
        <w:rPr>
          <w:rFonts w:ascii="Arial" w:hAnsi="Arial" w:cs="Arial"/>
          <w:sz w:val="10"/>
          <w:szCs w:val="10"/>
          <w:lang w:val="sl"/>
        </w:rPr>
      </w:pPr>
      <w:r w:rsidRPr="008A21C5">
        <w:rPr>
          <w:rFonts w:ascii="Arial" w:hAnsi="Arial" w:cs="Arial"/>
          <w:sz w:val="10"/>
          <w:szCs w:val="10"/>
          <w:lang w:val="sl"/>
        </w:rPr>
        <w:t>Hitri test za protitelesa IgM/IgG za SARS-CoV-2 VivaDiag</w:t>
      </w:r>
      <w:r w:rsidRPr="008A21C5">
        <w:rPr>
          <w:rFonts w:ascii="Arial" w:hAnsi="Arial" w:cs="Arial"/>
          <w:sz w:val="10"/>
          <w:szCs w:val="10"/>
          <w:vertAlign w:val="superscript"/>
          <w:lang w:val="sl"/>
        </w:rPr>
        <w:t>TM</w:t>
      </w:r>
      <w:r w:rsidRPr="008A21C5">
        <w:rPr>
          <w:rFonts w:ascii="Arial" w:hAnsi="Arial" w:cs="Arial"/>
          <w:sz w:val="10"/>
          <w:szCs w:val="10"/>
          <w:lang w:val="sl"/>
        </w:rPr>
        <w:t xml:space="preserve"> je bil preskušen za protitelo SARS-CoV, protitelo HPIV, protitelo virusa influence A in B, protitelo C. pneumoniae, protitelo MP, protitelo adenovirusa, protitelo RSV, protitelo HbsAb, HCV-Ab, protitelo TP, protitelo HIV, protitelo EBV, protitelo Mls, protitelo CMV, protitelo EV71, protitelo mumpsa in protitelo VZV. Rezultati niso pokazali navzkrižne reaktivnosti.</w:t>
      </w:r>
    </w:p>
    <w:p w:rsidR="00554E35" w:rsidRPr="008A21C5" w:rsidRDefault="00554E35">
      <w:pPr>
        <w:widowControl w:val="0"/>
        <w:tabs>
          <w:tab w:val="left" w:pos="1867"/>
          <w:tab w:val="left" w:pos="5018"/>
        </w:tabs>
        <w:autoSpaceDE w:val="0"/>
        <w:autoSpaceDN w:val="0"/>
        <w:adjustRightInd w:val="0"/>
        <w:spacing w:before="92" w:after="0" w:line="240" w:lineRule="auto"/>
        <w:ind w:left="109"/>
        <w:jc w:val="both"/>
        <w:rPr>
          <w:rFonts w:ascii="Arial" w:hAnsi="Arial" w:cs="Arial"/>
          <w:b/>
          <w:bCs/>
          <w:sz w:val="12"/>
          <w:szCs w:val="12"/>
          <w:lang w:val="sl"/>
        </w:rPr>
      </w:pPr>
      <w:r w:rsidRPr="008A21C5">
        <w:rPr>
          <w:rFonts w:ascii="Arial" w:hAnsi="Arial" w:cs="Arial"/>
          <w:b/>
          <w:bCs/>
          <w:color w:val="FFFFFF"/>
          <w:sz w:val="12"/>
          <w:szCs w:val="12"/>
          <w:highlight w:val="black"/>
          <w:lang w:val="sl"/>
        </w:rPr>
        <w:t xml:space="preserve"> POMEN SIMBOLOV</w:t>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008A21C5">
        <w:rPr>
          <w:rFonts w:ascii="Arial" w:hAnsi="Arial" w:cs="Arial"/>
          <w:b/>
          <w:bCs/>
          <w:color w:val="FFFFFF"/>
          <w:sz w:val="12"/>
          <w:szCs w:val="12"/>
          <w:highlight w:val="black"/>
          <w:lang w:val="sl"/>
        </w:rPr>
        <w:tab/>
      </w:r>
      <w:r w:rsidRPr="008A21C5">
        <w:rPr>
          <w:rFonts w:ascii="Arial" w:hAnsi="Arial" w:cs="Arial"/>
          <w:b/>
          <w:bCs/>
          <w:color w:val="FFFFFF"/>
          <w:sz w:val="12"/>
          <w:szCs w:val="12"/>
          <w:highlight w:val="black"/>
          <w:lang w:val="sl"/>
        </w:rPr>
        <w:tab/>
      </w:r>
    </w:p>
    <w:p w:rsidR="00554E35" w:rsidRPr="008A21C5" w:rsidRDefault="00554E35">
      <w:pPr>
        <w:widowControl w:val="0"/>
        <w:autoSpaceDE w:val="0"/>
        <w:autoSpaceDN w:val="0"/>
        <w:adjustRightInd w:val="0"/>
        <w:spacing w:before="2" w:after="0" w:line="240" w:lineRule="auto"/>
        <w:rPr>
          <w:rFonts w:ascii="Arial" w:hAnsi="Arial" w:cs="Arial"/>
          <w:b/>
          <w:bCs/>
          <w:sz w:val="18"/>
          <w:szCs w:val="18"/>
          <w:lang w:val="sl"/>
        </w:rPr>
      </w:pPr>
    </w:p>
    <w:tbl>
      <w:tblPr>
        <w:tblW w:w="0" w:type="auto"/>
        <w:tblInd w:w="159" w:type="dxa"/>
        <w:tblLayout w:type="fixed"/>
        <w:tblCellMar>
          <w:left w:w="0" w:type="dxa"/>
          <w:right w:w="0" w:type="dxa"/>
        </w:tblCellMar>
        <w:tblLook w:val="0000" w:firstRow="0" w:lastRow="0" w:firstColumn="0" w:lastColumn="0" w:noHBand="0" w:noVBand="0"/>
      </w:tblPr>
      <w:tblGrid>
        <w:gridCol w:w="530"/>
        <w:gridCol w:w="1215"/>
        <w:gridCol w:w="597"/>
        <w:gridCol w:w="794"/>
        <w:gridCol w:w="606"/>
        <w:gridCol w:w="1105"/>
      </w:tblGrid>
      <w:tr w:rsidR="00554E35" w:rsidRPr="008A21C5">
        <w:tblPrEx>
          <w:tblCellMar>
            <w:top w:w="0" w:type="dxa"/>
            <w:left w:w="0" w:type="dxa"/>
            <w:bottom w:w="0" w:type="dxa"/>
            <w:right w:w="0" w:type="dxa"/>
          </w:tblCellMar>
        </w:tblPrEx>
        <w:trPr>
          <w:trHeight w:val="277"/>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54E35" w:rsidRDefault="00554E35">
            <w:pPr>
              <w:widowControl w:val="0"/>
              <w:autoSpaceDE w:val="0"/>
              <w:autoSpaceDN w:val="0"/>
              <w:adjustRightInd w:val="0"/>
              <w:spacing w:before="3" w:after="0" w:line="240" w:lineRule="auto"/>
              <w:rPr>
                <w:rFonts w:ascii="Arial" w:hAnsi="Arial" w:cs="Arial"/>
                <w:b/>
                <w:bCs/>
                <w:sz w:val="2"/>
                <w:szCs w:val="2"/>
                <w:lang w:val="sl"/>
              </w:rPr>
            </w:pPr>
          </w:p>
          <w:p w:rsidR="00554E35" w:rsidRPr="008A21C5" w:rsidRDefault="002F7261">
            <w:pPr>
              <w:widowControl w:val="0"/>
              <w:autoSpaceDE w:val="0"/>
              <w:autoSpaceDN w:val="0"/>
              <w:adjustRightInd w:val="0"/>
              <w:spacing w:after="0" w:line="227" w:lineRule="atLeast"/>
              <w:ind w:left="128"/>
              <w:rPr>
                <w:rFonts w:ascii="Calibri" w:hAnsi="Calibri" w:cs="Calibri"/>
                <w:sz w:val="20"/>
                <w:szCs w:val="20"/>
                <w:lang w:val="sl"/>
              </w:rPr>
            </w:pPr>
            <w:r w:rsidRPr="002F7261">
              <w:rPr>
                <w:rFonts w:ascii="Calibri" w:hAnsi="Calibri" w:cs="Calibri"/>
                <w:noProof/>
                <w:sz w:val="20"/>
                <w:szCs w:val="20"/>
              </w:rPr>
              <w:drawing>
                <wp:inline distT="0" distB="0" distL="0" distR="0">
                  <wp:extent cx="161925" cy="142875"/>
                  <wp:effectExtent l="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26" w:lineRule="atLeast"/>
              <w:ind w:left="18" w:right="48"/>
              <w:rPr>
                <w:rFonts w:ascii="Calibri" w:hAnsi="Calibri" w:cs="Calibri"/>
                <w:sz w:val="20"/>
                <w:szCs w:val="20"/>
                <w:lang w:val="sl"/>
              </w:rPr>
            </w:pPr>
            <w:r w:rsidRPr="008A21C5">
              <w:rPr>
                <w:rFonts w:ascii="Arial" w:hAnsi="Arial" w:cs="Arial"/>
                <w:sz w:val="9"/>
                <w:szCs w:val="9"/>
                <w:lang w:val="sl"/>
              </w:rPr>
              <w:t>Glejte navodila za uporabo</w:t>
            </w:r>
          </w:p>
        </w:tc>
        <w:tc>
          <w:tcPr>
            <w:tcW w:w="597"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 w:after="0" w:line="240" w:lineRule="auto"/>
              <w:rPr>
                <w:rFonts w:ascii="Arial" w:hAnsi="Arial" w:cs="Arial"/>
                <w:b/>
                <w:bCs/>
                <w:sz w:val="2"/>
                <w:szCs w:val="2"/>
                <w:lang w:val="sl"/>
              </w:rPr>
            </w:pPr>
          </w:p>
          <w:p w:rsidR="00554E35" w:rsidRPr="008A21C5" w:rsidRDefault="00554E35">
            <w:pPr>
              <w:widowControl w:val="0"/>
              <w:autoSpaceDE w:val="0"/>
              <w:autoSpaceDN w:val="0"/>
              <w:adjustRightInd w:val="0"/>
              <w:spacing w:after="0" w:line="194" w:lineRule="atLeast"/>
              <w:ind w:left="245"/>
              <w:rPr>
                <w:rFonts w:ascii="Calibri" w:hAnsi="Calibri" w:cs="Calibri"/>
                <w:sz w:val="20"/>
                <w:szCs w:val="20"/>
                <w:lang w:val="sl"/>
              </w:rPr>
            </w:pP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4" w:after="0" w:line="240" w:lineRule="auto"/>
              <w:ind w:left="13"/>
              <w:rPr>
                <w:rFonts w:ascii="Calibri" w:hAnsi="Calibri" w:cs="Calibri"/>
                <w:sz w:val="20"/>
                <w:szCs w:val="20"/>
                <w:lang w:val="sl"/>
              </w:rPr>
            </w:pPr>
            <w:r w:rsidRPr="008A21C5">
              <w:rPr>
                <w:rFonts w:ascii="Arial" w:hAnsi="Arial" w:cs="Arial"/>
                <w:sz w:val="9"/>
                <w:szCs w:val="9"/>
                <w:lang w:val="sl"/>
              </w:rPr>
              <w:t>Uporabite do</w:t>
            </w:r>
          </w:p>
        </w:tc>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2F7261">
            <w:pPr>
              <w:widowControl w:val="0"/>
              <w:autoSpaceDE w:val="0"/>
              <w:autoSpaceDN w:val="0"/>
              <w:adjustRightInd w:val="0"/>
              <w:spacing w:after="0" w:line="232" w:lineRule="atLeast"/>
              <w:ind w:left="173"/>
              <w:rPr>
                <w:rFonts w:ascii="Calibri" w:hAnsi="Calibri" w:cs="Calibri"/>
                <w:sz w:val="20"/>
                <w:szCs w:val="20"/>
                <w:lang w:val="sl"/>
              </w:rPr>
            </w:pPr>
            <w:r w:rsidRPr="002F7261">
              <w:rPr>
                <w:rFonts w:ascii="Calibri" w:hAnsi="Calibri" w:cs="Calibri"/>
                <w:noProof/>
                <w:sz w:val="20"/>
                <w:szCs w:val="20"/>
              </w:rPr>
              <w:drawing>
                <wp:inline distT="0" distB="0" distL="0" distR="0">
                  <wp:extent cx="152400" cy="142875"/>
                  <wp:effectExtent l="0" t="0" r="0" b="0"/>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110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2" w:after="0" w:line="126" w:lineRule="atLeast"/>
              <w:ind w:left="12"/>
              <w:rPr>
                <w:rFonts w:ascii="Arial" w:hAnsi="Arial" w:cs="Arial"/>
                <w:sz w:val="9"/>
                <w:szCs w:val="9"/>
                <w:lang w:val="sl"/>
              </w:rPr>
            </w:pPr>
            <w:r w:rsidRPr="008A21C5">
              <w:rPr>
                <w:rFonts w:ascii="Arial" w:hAnsi="Arial" w:cs="Arial"/>
                <w:sz w:val="9"/>
                <w:szCs w:val="9"/>
                <w:lang w:val="sl"/>
              </w:rPr>
              <w:t>Vsebuje količino, zadostno za</w:t>
            </w:r>
          </w:p>
          <w:p w:rsidR="00554E35" w:rsidRPr="008A21C5" w:rsidRDefault="00554E35">
            <w:pPr>
              <w:widowControl w:val="0"/>
              <w:autoSpaceDE w:val="0"/>
              <w:autoSpaceDN w:val="0"/>
              <w:adjustRightInd w:val="0"/>
              <w:spacing w:after="0" w:line="120" w:lineRule="atLeast"/>
              <w:ind w:left="12"/>
              <w:rPr>
                <w:rFonts w:ascii="Calibri" w:hAnsi="Calibri" w:cs="Calibri"/>
                <w:sz w:val="20"/>
                <w:szCs w:val="20"/>
                <w:lang w:val="sl"/>
              </w:rPr>
            </w:pPr>
            <w:r w:rsidRPr="008A21C5">
              <w:rPr>
                <w:rFonts w:ascii="Arial" w:hAnsi="Arial" w:cs="Arial"/>
                <w:sz w:val="9"/>
                <w:szCs w:val="9"/>
                <w:lang w:val="sl"/>
              </w:rPr>
              <w:t>&lt;n&gt; testov</w:t>
            </w:r>
          </w:p>
        </w:tc>
      </w:tr>
      <w:tr w:rsidR="00554E35" w:rsidRPr="008A21C5">
        <w:tblPrEx>
          <w:tblCellMar>
            <w:top w:w="0" w:type="dxa"/>
            <w:left w:w="0" w:type="dxa"/>
            <w:bottom w:w="0" w:type="dxa"/>
            <w:right w:w="0" w:type="dxa"/>
          </w:tblCellMar>
        </w:tblPrEx>
        <w:trPr>
          <w:trHeight w:val="277"/>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6" w:after="0" w:line="240" w:lineRule="auto"/>
              <w:rPr>
                <w:rFonts w:ascii="Arial" w:hAnsi="Arial" w:cs="Arial"/>
                <w:b/>
                <w:bCs/>
                <w:sz w:val="2"/>
                <w:szCs w:val="2"/>
                <w:lang w:val="sl"/>
              </w:rPr>
            </w:pPr>
          </w:p>
          <w:p w:rsidR="00554E35" w:rsidRPr="008A21C5" w:rsidRDefault="002F7261">
            <w:pPr>
              <w:widowControl w:val="0"/>
              <w:autoSpaceDE w:val="0"/>
              <w:autoSpaceDN w:val="0"/>
              <w:adjustRightInd w:val="0"/>
              <w:spacing w:after="0" w:line="172" w:lineRule="atLeast"/>
              <w:ind w:left="111"/>
              <w:rPr>
                <w:rFonts w:ascii="Calibri" w:hAnsi="Calibri" w:cs="Calibri"/>
                <w:sz w:val="20"/>
                <w:szCs w:val="20"/>
                <w:lang w:val="sl"/>
              </w:rPr>
            </w:pPr>
            <w:r w:rsidRPr="002F7261">
              <w:rPr>
                <w:rFonts w:ascii="Calibri" w:hAnsi="Calibri" w:cs="Calibri"/>
                <w:noProof/>
                <w:sz w:val="20"/>
                <w:szCs w:val="20"/>
              </w:rPr>
              <w:drawing>
                <wp:inline distT="0" distB="0" distL="0" distR="0">
                  <wp:extent cx="190500" cy="95250"/>
                  <wp:effectExtent l="0" t="0" r="0" b="0"/>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26" w:lineRule="atLeast"/>
              <w:ind w:left="18" w:right="121"/>
              <w:rPr>
                <w:rFonts w:ascii="Calibri" w:hAnsi="Calibri" w:cs="Calibri"/>
                <w:sz w:val="20"/>
                <w:szCs w:val="20"/>
                <w:lang w:val="sl"/>
              </w:rPr>
            </w:pPr>
            <w:r w:rsidRPr="008A21C5">
              <w:rPr>
                <w:rFonts w:ascii="Arial" w:hAnsi="Arial" w:cs="Arial"/>
                <w:sz w:val="9"/>
                <w:szCs w:val="9"/>
                <w:lang w:val="sl"/>
              </w:rPr>
              <w:t xml:space="preserve">Samo za </w:t>
            </w:r>
            <w:r w:rsidRPr="008A21C5">
              <w:rPr>
                <w:rFonts w:ascii="Arial" w:hAnsi="Arial" w:cs="Arial"/>
                <w:i/>
                <w:iCs/>
                <w:sz w:val="9"/>
                <w:szCs w:val="9"/>
                <w:lang w:val="sl"/>
              </w:rPr>
              <w:t>in vitro</w:t>
            </w:r>
            <w:r w:rsidRPr="008A21C5">
              <w:rPr>
                <w:rFonts w:ascii="Arial" w:hAnsi="Arial" w:cs="Arial"/>
                <w:sz w:val="9"/>
                <w:szCs w:val="9"/>
                <w:lang w:val="sl"/>
              </w:rPr>
              <w:t xml:space="preserve"> diagnostično uporabo</w:t>
            </w:r>
          </w:p>
        </w:tc>
        <w:tc>
          <w:tcPr>
            <w:tcW w:w="597"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 w:after="0" w:line="240" w:lineRule="auto"/>
              <w:rPr>
                <w:rFonts w:ascii="Arial" w:hAnsi="Arial" w:cs="Arial"/>
                <w:b/>
                <w:bCs/>
                <w:sz w:val="2"/>
                <w:szCs w:val="2"/>
                <w:lang w:val="sl"/>
              </w:rPr>
            </w:pPr>
          </w:p>
          <w:p w:rsidR="00554E35" w:rsidRPr="008A21C5" w:rsidRDefault="002F7261">
            <w:pPr>
              <w:widowControl w:val="0"/>
              <w:autoSpaceDE w:val="0"/>
              <w:autoSpaceDN w:val="0"/>
              <w:adjustRightInd w:val="0"/>
              <w:spacing w:after="0" w:line="169" w:lineRule="atLeast"/>
              <w:ind w:left="152"/>
              <w:rPr>
                <w:rFonts w:ascii="Calibri" w:hAnsi="Calibri" w:cs="Calibri"/>
                <w:sz w:val="20"/>
                <w:szCs w:val="20"/>
                <w:lang w:val="sl"/>
              </w:rPr>
            </w:pPr>
            <w:r w:rsidRPr="002F7261">
              <w:rPr>
                <w:rFonts w:ascii="Calibri" w:hAnsi="Calibri" w:cs="Calibri"/>
                <w:noProof/>
                <w:sz w:val="20"/>
                <w:szCs w:val="20"/>
              </w:rPr>
              <w:drawing>
                <wp:inline distT="0" distB="0" distL="0" distR="0">
                  <wp:extent cx="180975" cy="95250"/>
                  <wp:effectExtent l="0" t="0" r="0" b="0"/>
                  <wp:docPr id="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4" w:after="0" w:line="240" w:lineRule="auto"/>
              <w:ind w:left="13"/>
              <w:rPr>
                <w:rFonts w:ascii="Calibri" w:hAnsi="Calibri" w:cs="Calibri"/>
                <w:sz w:val="20"/>
                <w:szCs w:val="20"/>
                <w:lang w:val="sl"/>
              </w:rPr>
            </w:pPr>
            <w:r w:rsidRPr="008A21C5">
              <w:rPr>
                <w:rFonts w:ascii="Arial" w:hAnsi="Arial" w:cs="Arial"/>
                <w:sz w:val="9"/>
                <w:szCs w:val="9"/>
                <w:lang w:val="sl"/>
              </w:rPr>
              <w:t>Številka lota</w:t>
            </w:r>
          </w:p>
        </w:tc>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4" w:after="0" w:line="240" w:lineRule="auto"/>
              <w:ind w:left="195"/>
              <w:rPr>
                <w:rFonts w:ascii="Calibri" w:hAnsi="Calibri" w:cs="Calibri"/>
                <w:sz w:val="20"/>
                <w:szCs w:val="20"/>
                <w:lang w:val="sl"/>
              </w:rPr>
            </w:pPr>
            <w:r w:rsidRPr="008A21C5">
              <w:rPr>
                <w:rFonts w:ascii="Arial" w:hAnsi="Arial" w:cs="Arial"/>
                <w:b/>
                <w:bCs/>
                <w:sz w:val="9"/>
                <w:szCs w:val="9"/>
                <w:lang w:val="sl"/>
              </w:rPr>
              <w:t>REF:</w:t>
            </w:r>
          </w:p>
        </w:tc>
        <w:tc>
          <w:tcPr>
            <w:tcW w:w="110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4" w:after="0" w:line="240" w:lineRule="auto"/>
              <w:ind w:left="12"/>
              <w:rPr>
                <w:rFonts w:ascii="Calibri" w:hAnsi="Calibri" w:cs="Calibri"/>
                <w:sz w:val="20"/>
                <w:szCs w:val="20"/>
                <w:lang w:val="sl"/>
              </w:rPr>
            </w:pPr>
            <w:r w:rsidRPr="008A21C5">
              <w:rPr>
                <w:rFonts w:ascii="Arial" w:hAnsi="Arial" w:cs="Arial"/>
                <w:sz w:val="9"/>
                <w:szCs w:val="9"/>
                <w:lang w:val="sl"/>
              </w:rPr>
              <w:t>Kataloška številka</w:t>
            </w:r>
          </w:p>
        </w:tc>
      </w:tr>
      <w:tr w:rsidR="00554E35" w:rsidRPr="008A21C5">
        <w:tblPrEx>
          <w:tblCellMar>
            <w:top w:w="0" w:type="dxa"/>
            <w:left w:w="0" w:type="dxa"/>
            <w:bottom w:w="0" w:type="dxa"/>
            <w:right w:w="0" w:type="dxa"/>
          </w:tblCellMar>
        </w:tblPrEx>
        <w:trPr>
          <w:trHeight w:val="278"/>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23534" w:rsidP="00523534">
            <w:pPr>
              <w:widowControl w:val="0"/>
              <w:autoSpaceDE w:val="0"/>
              <w:autoSpaceDN w:val="0"/>
              <w:adjustRightInd w:val="0"/>
              <w:spacing w:before="30" w:after="0" w:line="240" w:lineRule="auto"/>
              <w:rPr>
                <w:rFonts w:ascii="Calibri" w:hAnsi="Calibri" w:cs="Calibri"/>
                <w:sz w:val="20"/>
                <w:szCs w:val="20"/>
                <w:lang w:val="sl"/>
              </w:rPr>
            </w:pPr>
            <w:r w:rsidRPr="00523534">
              <w:rPr>
                <w:rFonts w:ascii="Arial" w:hAnsi="Arial" w:cs="Arial"/>
                <w:b/>
                <w:bCs/>
                <w:sz w:val="10"/>
                <w:szCs w:val="10"/>
                <w:lang w:val="sl"/>
              </w:rPr>
              <w:t>Od</w:t>
            </w:r>
            <w:r>
              <w:rPr>
                <w:rFonts w:ascii="Arial" w:hAnsi="Arial" w:cs="Arial"/>
                <w:b/>
                <w:bCs/>
                <w:sz w:val="10"/>
                <w:szCs w:val="10"/>
                <w:lang w:val="sl"/>
              </w:rPr>
              <w:t xml:space="preserve"> 15</w:t>
            </w:r>
            <w:r w:rsidRPr="00523534">
              <w:rPr>
                <w:rFonts w:ascii="Arial" w:hAnsi="Arial" w:cs="Arial"/>
                <w:b/>
                <w:bCs/>
                <w:sz w:val="10"/>
                <w:szCs w:val="10"/>
                <w:lang w:val="sl"/>
              </w:rPr>
              <w:t xml:space="preserve"> do </w:t>
            </w:r>
            <w:r w:rsidR="00554E35" w:rsidRPr="00523534">
              <w:rPr>
                <w:rFonts w:ascii="Arial" w:hAnsi="Arial" w:cs="Arial"/>
                <w:b/>
                <w:bCs/>
                <w:sz w:val="10"/>
                <w:szCs w:val="10"/>
                <w:lang w:val="sl"/>
              </w:rPr>
              <w:t>30</w:t>
            </w:r>
            <w:r>
              <w:rPr>
                <w:rFonts w:ascii="Arial" w:hAnsi="Arial" w:cs="Arial"/>
                <w:b/>
                <w:bCs/>
                <w:sz w:val="10"/>
                <w:szCs w:val="10"/>
                <w:lang w:val="sl"/>
              </w:rPr>
              <w:t xml:space="preserve"> °C</w:t>
            </w:r>
          </w:p>
        </w:tc>
        <w:tc>
          <w:tcPr>
            <w:tcW w:w="121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14" w:after="0" w:line="126" w:lineRule="atLeast"/>
              <w:ind w:left="18" w:right="48"/>
              <w:rPr>
                <w:rFonts w:ascii="Calibri" w:hAnsi="Calibri" w:cs="Calibri"/>
                <w:sz w:val="20"/>
                <w:szCs w:val="20"/>
                <w:lang w:val="sl"/>
              </w:rPr>
            </w:pPr>
            <w:r w:rsidRPr="008A21C5">
              <w:rPr>
                <w:rFonts w:ascii="Arial" w:hAnsi="Arial" w:cs="Arial"/>
                <w:sz w:val="9"/>
                <w:szCs w:val="9"/>
                <w:lang w:val="sl"/>
              </w:rPr>
              <w:t>Omejitve temperature shranjevanja</w:t>
            </w:r>
          </w:p>
        </w:tc>
        <w:tc>
          <w:tcPr>
            <w:tcW w:w="597"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2F7261">
            <w:pPr>
              <w:widowControl w:val="0"/>
              <w:autoSpaceDE w:val="0"/>
              <w:autoSpaceDN w:val="0"/>
              <w:adjustRightInd w:val="0"/>
              <w:spacing w:after="0" w:line="240" w:lineRule="auto"/>
              <w:ind w:left="159"/>
              <w:rPr>
                <w:rFonts w:ascii="Calibri" w:hAnsi="Calibri" w:cs="Calibri"/>
                <w:sz w:val="20"/>
                <w:szCs w:val="20"/>
                <w:lang w:val="sl"/>
              </w:rPr>
            </w:pPr>
            <w:r w:rsidRPr="002F7261">
              <w:rPr>
                <w:rFonts w:ascii="Calibri" w:hAnsi="Calibri" w:cs="Calibri"/>
                <w:noProof/>
                <w:sz w:val="20"/>
                <w:szCs w:val="20"/>
              </w:rPr>
              <w:drawing>
                <wp:inline distT="0" distB="0" distL="0" distR="0">
                  <wp:extent cx="161925" cy="161925"/>
                  <wp:effectExtent l="0" t="0" r="0" b="0"/>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4" w:after="0" w:line="240" w:lineRule="auto"/>
              <w:ind w:left="13"/>
              <w:rPr>
                <w:rFonts w:ascii="Calibri" w:hAnsi="Calibri" w:cs="Calibri"/>
                <w:sz w:val="20"/>
                <w:szCs w:val="20"/>
                <w:lang w:val="sl"/>
              </w:rPr>
            </w:pPr>
            <w:r w:rsidRPr="008A21C5">
              <w:rPr>
                <w:rFonts w:ascii="Arial" w:hAnsi="Arial" w:cs="Arial"/>
                <w:sz w:val="9"/>
                <w:szCs w:val="9"/>
                <w:lang w:val="sl"/>
              </w:rPr>
              <w:t>Proizvajalec</w:t>
            </w:r>
          </w:p>
        </w:tc>
        <w:tc>
          <w:tcPr>
            <w:tcW w:w="606"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2F7261">
            <w:pPr>
              <w:widowControl w:val="0"/>
              <w:autoSpaceDE w:val="0"/>
              <w:autoSpaceDN w:val="0"/>
              <w:adjustRightInd w:val="0"/>
              <w:spacing w:after="0" w:line="240" w:lineRule="auto"/>
              <w:ind w:left="177"/>
              <w:rPr>
                <w:rFonts w:ascii="Calibri" w:hAnsi="Calibri" w:cs="Calibri"/>
                <w:sz w:val="20"/>
                <w:szCs w:val="20"/>
                <w:lang w:val="sl"/>
              </w:rPr>
            </w:pPr>
            <w:r w:rsidRPr="002F7261">
              <w:rPr>
                <w:rFonts w:ascii="Calibri" w:hAnsi="Calibri" w:cs="Calibri"/>
                <w:noProof/>
                <w:sz w:val="20"/>
                <w:szCs w:val="20"/>
              </w:rPr>
              <w:drawing>
                <wp:inline distT="0" distB="0" distL="0" distR="0">
                  <wp:extent cx="152400" cy="152400"/>
                  <wp:effectExtent l="0" t="0" r="0" b="0"/>
                  <wp:docPr id="8"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05"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4" w:after="0" w:line="240" w:lineRule="auto"/>
              <w:ind w:left="12"/>
              <w:rPr>
                <w:rFonts w:ascii="Calibri" w:hAnsi="Calibri" w:cs="Calibri"/>
                <w:sz w:val="20"/>
                <w:szCs w:val="20"/>
                <w:lang w:val="sl"/>
              </w:rPr>
            </w:pPr>
            <w:r w:rsidRPr="008A21C5">
              <w:rPr>
                <w:rFonts w:ascii="Arial" w:hAnsi="Arial" w:cs="Arial"/>
                <w:sz w:val="9"/>
                <w:szCs w:val="9"/>
                <w:lang w:val="sl"/>
              </w:rPr>
              <w:t>Ni za ponovno uporabo.</w:t>
            </w:r>
          </w:p>
        </w:tc>
      </w:tr>
      <w:tr w:rsidR="00554E35" w:rsidRPr="008A21C5">
        <w:tblPrEx>
          <w:tblCellMar>
            <w:top w:w="0" w:type="dxa"/>
            <w:left w:w="0" w:type="dxa"/>
            <w:bottom w:w="0" w:type="dxa"/>
            <w:right w:w="0" w:type="dxa"/>
          </w:tblCellMar>
        </w:tblPrEx>
        <w:trPr>
          <w:trHeight w:val="278"/>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3" w:after="0" w:line="240" w:lineRule="auto"/>
              <w:rPr>
                <w:rFonts w:ascii="Arial" w:hAnsi="Arial" w:cs="Arial"/>
                <w:b/>
                <w:bCs/>
                <w:sz w:val="4"/>
                <w:szCs w:val="4"/>
                <w:lang w:val="sl"/>
              </w:rPr>
            </w:pPr>
          </w:p>
          <w:p w:rsidR="00554E35" w:rsidRPr="008A21C5" w:rsidRDefault="002F7261">
            <w:pPr>
              <w:widowControl w:val="0"/>
              <w:autoSpaceDE w:val="0"/>
              <w:autoSpaceDN w:val="0"/>
              <w:adjustRightInd w:val="0"/>
              <w:spacing w:after="0" w:line="132" w:lineRule="atLeast"/>
              <w:ind w:left="30" w:right="-29"/>
              <w:rPr>
                <w:rFonts w:ascii="Calibri" w:hAnsi="Calibri" w:cs="Calibri"/>
                <w:sz w:val="20"/>
                <w:szCs w:val="20"/>
                <w:lang w:val="sl"/>
              </w:rPr>
            </w:pPr>
            <w:r w:rsidRPr="002F7261">
              <w:rPr>
                <w:rFonts w:ascii="Calibri" w:hAnsi="Calibri" w:cs="Calibri"/>
                <w:noProof/>
                <w:sz w:val="20"/>
                <w:szCs w:val="20"/>
              </w:rPr>
              <w:drawing>
                <wp:inline distT="0" distB="0" distL="0" distR="0">
                  <wp:extent cx="285750" cy="85725"/>
                  <wp:effectExtent l="0" t="0" r="0" b="0"/>
                  <wp:docPr id="9"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85725"/>
                          </a:xfrm>
                          <a:prstGeom prst="rect">
                            <a:avLst/>
                          </a:prstGeom>
                          <a:noFill/>
                          <a:ln>
                            <a:noFill/>
                          </a:ln>
                        </pic:spPr>
                      </pic:pic>
                    </a:graphicData>
                  </a:graphic>
                </wp:inline>
              </w:drawing>
            </w:r>
          </w:p>
        </w:tc>
        <w:tc>
          <w:tcPr>
            <w:tcW w:w="431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54E35" w:rsidRPr="008A21C5" w:rsidRDefault="00554E35">
            <w:pPr>
              <w:widowControl w:val="0"/>
              <w:autoSpaceDE w:val="0"/>
              <w:autoSpaceDN w:val="0"/>
              <w:adjustRightInd w:val="0"/>
              <w:spacing w:before="74" w:after="0" w:line="240" w:lineRule="auto"/>
              <w:ind w:left="18"/>
              <w:rPr>
                <w:rFonts w:ascii="Calibri" w:hAnsi="Calibri" w:cs="Calibri"/>
                <w:sz w:val="20"/>
                <w:szCs w:val="20"/>
                <w:lang w:val="sl"/>
              </w:rPr>
            </w:pPr>
            <w:r w:rsidRPr="008A21C5">
              <w:rPr>
                <w:rFonts w:ascii="Arial" w:hAnsi="Arial" w:cs="Arial"/>
                <w:sz w:val="9"/>
                <w:szCs w:val="9"/>
                <w:lang w:val="sl"/>
              </w:rPr>
              <w:t>Pooblaščeni zastopnik</w:t>
            </w:r>
          </w:p>
        </w:tc>
      </w:tr>
    </w:tbl>
    <w:p w:rsidR="00554E35" w:rsidRPr="008A21C5" w:rsidRDefault="00554E35">
      <w:pPr>
        <w:widowControl w:val="0"/>
        <w:autoSpaceDE w:val="0"/>
        <w:autoSpaceDN w:val="0"/>
        <w:adjustRightInd w:val="0"/>
        <w:spacing w:after="0" w:line="240" w:lineRule="auto"/>
        <w:rPr>
          <w:rFonts w:ascii="Arial" w:hAnsi="Arial" w:cs="Arial"/>
          <w:b/>
          <w:bCs/>
          <w:sz w:val="18"/>
          <w:szCs w:val="18"/>
          <w:lang w:val="sl"/>
        </w:rPr>
      </w:pPr>
    </w:p>
    <w:p w:rsidR="00554E35" w:rsidRPr="008A21C5" w:rsidRDefault="00554E35">
      <w:pPr>
        <w:widowControl w:val="0"/>
        <w:autoSpaceDE w:val="0"/>
        <w:autoSpaceDN w:val="0"/>
        <w:adjustRightInd w:val="0"/>
        <w:spacing w:after="0" w:line="240" w:lineRule="auto"/>
        <w:rPr>
          <w:rFonts w:ascii="Arial" w:hAnsi="Arial" w:cs="Arial"/>
          <w:b/>
          <w:bCs/>
          <w:sz w:val="18"/>
          <w:szCs w:val="18"/>
          <w:lang w:val="sl"/>
        </w:rPr>
      </w:pPr>
    </w:p>
    <w:p w:rsidR="00554E35" w:rsidRPr="008A21C5" w:rsidRDefault="002F7261">
      <w:pPr>
        <w:widowControl w:val="0"/>
        <w:autoSpaceDE w:val="0"/>
        <w:autoSpaceDN w:val="0"/>
        <w:adjustRightInd w:val="0"/>
        <w:spacing w:before="9" w:after="0" w:line="240" w:lineRule="auto"/>
        <w:rPr>
          <w:rFonts w:ascii="Arial" w:hAnsi="Arial" w:cs="Arial"/>
          <w:b/>
          <w:bCs/>
          <w:sz w:val="24"/>
          <w:szCs w:val="24"/>
          <w:lang w:val="sl"/>
        </w:rPr>
      </w:pPr>
      <w:r w:rsidRPr="002F7261">
        <w:rPr>
          <w:rFonts w:ascii="Calibri" w:hAnsi="Calibri" w:cs="Calibri"/>
          <w:noProof/>
          <w:sz w:val="20"/>
          <w:szCs w:val="20"/>
        </w:rPr>
        <w:drawing>
          <wp:inline distT="0" distB="0" distL="0" distR="0">
            <wp:extent cx="2495550" cy="790575"/>
            <wp:effectExtent l="0" t="0" r="0" b="0"/>
            <wp:docPr id="10"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790575"/>
                    </a:xfrm>
                    <a:prstGeom prst="rect">
                      <a:avLst/>
                    </a:prstGeom>
                    <a:noFill/>
                    <a:ln>
                      <a:noFill/>
                    </a:ln>
                  </pic:spPr>
                </pic:pic>
              </a:graphicData>
            </a:graphic>
          </wp:inline>
        </w:drawing>
      </w:r>
    </w:p>
    <w:p w:rsidR="00554E35" w:rsidRPr="008A21C5" w:rsidRDefault="00554E35">
      <w:pPr>
        <w:widowControl w:val="0"/>
        <w:autoSpaceDE w:val="0"/>
        <w:autoSpaceDN w:val="0"/>
        <w:adjustRightInd w:val="0"/>
        <w:spacing w:after="0" w:line="240" w:lineRule="auto"/>
        <w:rPr>
          <w:rFonts w:ascii="Arial" w:hAnsi="Arial" w:cs="Arial"/>
          <w:b/>
          <w:bCs/>
          <w:sz w:val="14"/>
          <w:szCs w:val="14"/>
          <w:lang w:val="sl"/>
        </w:rPr>
      </w:pPr>
    </w:p>
    <w:p w:rsidR="00554E35" w:rsidRPr="008A21C5" w:rsidRDefault="00554E35">
      <w:pPr>
        <w:widowControl w:val="0"/>
        <w:autoSpaceDE w:val="0"/>
        <w:autoSpaceDN w:val="0"/>
        <w:adjustRightInd w:val="0"/>
        <w:spacing w:before="126" w:after="0" w:line="126" w:lineRule="atLeast"/>
        <w:ind w:left="3689"/>
        <w:rPr>
          <w:rFonts w:ascii="Arial" w:hAnsi="Arial" w:cs="Arial"/>
          <w:sz w:val="9"/>
          <w:szCs w:val="9"/>
          <w:lang w:val="sl"/>
        </w:rPr>
      </w:pPr>
      <w:r w:rsidRPr="008A21C5">
        <w:rPr>
          <w:rFonts w:ascii="Arial" w:hAnsi="Arial" w:cs="Arial"/>
          <w:sz w:val="9"/>
          <w:szCs w:val="9"/>
          <w:lang w:val="sl"/>
        </w:rPr>
        <w:t>Številka: 1604003703</w:t>
      </w:r>
    </w:p>
    <w:p w:rsidR="00554E35" w:rsidRPr="008A21C5" w:rsidRDefault="00554E35">
      <w:pPr>
        <w:widowControl w:val="0"/>
        <w:autoSpaceDE w:val="0"/>
        <w:autoSpaceDN w:val="0"/>
        <w:adjustRightInd w:val="0"/>
        <w:spacing w:after="0" w:line="126" w:lineRule="atLeast"/>
        <w:ind w:left="3700"/>
        <w:rPr>
          <w:rFonts w:ascii="Arial" w:hAnsi="Arial" w:cs="Arial"/>
          <w:sz w:val="9"/>
          <w:szCs w:val="9"/>
          <w:lang w:val="sl"/>
        </w:rPr>
      </w:pPr>
      <w:r w:rsidRPr="008A21C5">
        <w:rPr>
          <w:rFonts w:ascii="Arial" w:hAnsi="Arial" w:cs="Arial"/>
          <w:sz w:val="9"/>
          <w:szCs w:val="9"/>
          <w:lang w:val="sl"/>
        </w:rPr>
        <w:t>Datum začetka veljavnosti: 20. 4. 2020</w:t>
      </w:r>
    </w:p>
    <w:sectPr w:rsidR="00554E35" w:rsidRPr="008A21C5" w:rsidSect="008A21C5">
      <w:pgSz w:w="15840" w:h="12240" w:orient="landscape"/>
      <w:pgMar w:top="568" w:right="389" w:bottom="568" w:left="284" w:header="708" w:footer="708" w:gutter="0"/>
      <w:cols w:num="2" w:space="24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61" w:rsidRDefault="002F7261" w:rsidP="008A21C5">
      <w:pPr>
        <w:spacing w:after="0" w:line="240" w:lineRule="auto"/>
      </w:pPr>
      <w:r>
        <w:separator/>
      </w:r>
    </w:p>
  </w:endnote>
  <w:endnote w:type="continuationSeparator" w:id="0">
    <w:p w:rsidR="002F7261" w:rsidRDefault="002F7261" w:rsidP="008A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61" w:rsidRDefault="002F7261" w:rsidP="008A21C5">
      <w:pPr>
        <w:spacing w:after="0" w:line="240" w:lineRule="auto"/>
      </w:pPr>
      <w:r>
        <w:separator/>
      </w:r>
    </w:p>
  </w:footnote>
  <w:footnote w:type="continuationSeparator" w:id="0">
    <w:p w:rsidR="002F7261" w:rsidRDefault="002F7261" w:rsidP="008A2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088BB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C5"/>
    <w:rsid w:val="00024498"/>
    <w:rsid w:val="001E7CE7"/>
    <w:rsid w:val="002F7261"/>
    <w:rsid w:val="00523534"/>
    <w:rsid w:val="00554E35"/>
    <w:rsid w:val="006F795C"/>
    <w:rsid w:val="008A0411"/>
    <w:rsid w:val="008A21C5"/>
    <w:rsid w:val="00C94F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714725-FCD3-4427-AF58-94FD1AB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A21C5"/>
    <w:pPr>
      <w:tabs>
        <w:tab w:val="center" w:pos="4536"/>
        <w:tab w:val="right" w:pos="9072"/>
      </w:tabs>
      <w:spacing w:after="0" w:line="240" w:lineRule="auto"/>
    </w:pPr>
  </w:style>
  <w:style w:type="paragraph" w:styleId="Besedilooblaka">
    <w:name w:val="Balloon Text"/>
    <w:basedOn w:val="Navaden"/>
    <w:link w:val="BesedilooblakaZnak"/>
    <w:uiPriority w:val="99"/>
    <w:semiHidden/>
    <w:unhideWhenUsed/>
    <w:rsid w:val="001E7CE7"/>
    <w:pPr>
      <w:spacing w:after="0" w:line="240" w:lineRule="auto"/>
    </w:pPr>
    <w:rPr>
      <w:rFonts w:ascii="Tahoma" w:hAnsi="Tahoma" w:cs="Tahoma"/>
      <w:sz w:val="16"/>
      <w:szCs w:val="16"/>
    </w:rPr>
  </w:style>
  <w:style w:type="paragraph" w:styleId="Noga">
    <w:name w:val="footer"/>
    <w:basedOn w:val="Navaden"/>
    <w:link w:val="NogaZnak"/>
    <w:uiPriority w:val="99"/>
    <w:unhideWhenUsed/>
    <w:rsid w:val="008A21C5"/>
    <w:pPr>
      <w:tabs>
        <w:tab w:val="center" w:pos="4536"/>
        <w:tab w:val="right" w:pos="9072"/>
      </w:tabs>
      <w:spacing w:after="0" w:line="240" w:lineRule="auto"/>
    </w:pPr>
  </w:style>
  <w:style w:type="character" w:customStyle="1" w:styleId="BesedilooblakaZnak">
    <w:name w:val="Besedilo oblačka Znak"/>
    <w:basedOn w:val="Privzetapisavaodstavka"/>
    <w:link w:val="Besedilooblaka"/>
    <w:uiPriority w:val="99"/>
    <w:semiHidden/>
    <w:locked/>
    <w:rsid w:val="001E7CE7"/>
    <w:rPr>
      <w:rFonts w:ascii="Tahoma" w:hAnsi="Tahoma" w:cs="Tahoma"/>
      <w:sz w:val="16"/>
      <w:szCs w:val="16"/>
    </w:rPr>
  </w:style>
  <w:style w:type="character" w:customStyle="1" w:styleId="GlavaZnak">
    <w:name w:val="Glava Znak"/>
    <w:basedOn w:val="Privzetapisavaodstavka"/>
    <w:link w:val="Glava"/>
    <w:uiPriority w:val="99"/>
    <w:locked/>
    <w:rsid w:val="008A21C5"/>
    <w:rPr>
      <w:rFonts w:cs="Times New Roman"/>
    </w:rPr>
  </w:style>
  <w:style w:type="character" w:customStyle="1" w:styleId="NogaZnak">
    <w:name w:val="Noga Znak"/>
    <w:basedOn w:val="Privzetapisavaodstavka"/>
    <w:link w:val="Noga"/>
    <w:uiPriority w:val="99"/>
    <w:locked/>
    <w:rsid w:val="008A21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Words>
  <Characters>7764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Klaut Zigon</dc:creator>
  <cp:keywords/>
  <dc:description/>
  <cp:lastModifiedBy>Medigo</cp:lastModifiedBy>
  <cp:revision>2</cp:revision>
  <dcterms:created xsi:type="dcterms:W3CDTF">2021-05-21T12:19:00Z</dcterms:created>
  <dcterms:modified xsi:type="dcterms:W3CDTF">2021-05-21T12:19:00Z</dcterms:modified>
</cp:coreProperties>
</file>